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0794E" w:rsidRDefault="0009698E">
      <w:pPr>
        <w:spacing w:before="180" w:after="180"/>
        <w:jc w:val="center"/>
        <w:rPr>
          <w:rFonts w:ascii="Times New Roman" w:eastAsia="Times New Roman" w:hAnsi="Times New Roman" w:cs="Times New Roman"/>
          <w:i/>
          <w:color w:val="2D3B45"/>
          <w:sz w:val="36"/>
          <w:szCs w:val="36"/>
          <w:highlight w:val="white"/>
          <w:u w:val="single"/>
        </w:rPr>
      </w:pPr>
      <w:bookmarkStart w:id="0" w:name="_GoBack"/>
      <w:bookmarkEnd w:id="0"/>
      <w:r>
        <w:rPr>
          <w:rFonts w:ascii="Times New Roman" w:eastAsia="Times New Roman" w:hAnsi="Times New Roman" w:cs="Times New Roman"/>
          <w:i/>
          <w:color w:val="2D3B45"/>
          <w:sz w:val="36"/>
          <w:szCs w:val="36"/>
          <w:highlight w:val="white"/>
          <w:u w:val="single"/>
        </w:rPr>
        <w:t>Debate #3: Group 6 Portfolio</w:t>
      </w:r>
    </w:p>
    <w:p w14:paraId="00000002" w14:textId="77777777" w:rsidR="0070794E" w:rsidRDefault="0009698E">
      <w:pPr>
        <w:spacing w:before="180" w:after="180"/>
        <w:jc w:val="center"/>
        <w:rPr>
          <w:rFonts w:ascii="Times New Roman" w:eastAsia="Times New Roman" w:hAnsi="Times New Roman" w:cs="Times New Roman"/>
          <w:i/>
          <w:color w:val="2D3B45"/>
          <w:sz w:val="28"/>
          <w:szCs w:val="28"/>
          <w:highlight w:val="white"/>
        </w:rPr>
      </w:pPr>
      <w:r>
        <w:rPr>
          <w:rFonts w:ascii="Times New Roman" w:eastAsia="Times New Roman" w:hAnsi="Times New Roman" w:cs="Times New Roman"/>
          <w:i/>
          <w:color w:val="2D3B45"/>
          <w:sz w:val="28"/>
          <w:szCs w:val="28"/>
          <w:highlight w:val="white"/>
        </w:rPr>
        <w:t>A lobbying group in Massachusetts has rallied around a piece of state legislation that would outlaw genital modification interventions for children under the age of 18 in circumstances where the child's physical health is not`` seriously threatened.  The b</w:t>
      </w:r>
      <w:r>
        <w:rPr>
          <w:rFonts w:ascii="Times New Roman" w:eastAsia="Times New Roman" w:hAnsi="Times New Roman" w:cs="Times New Roman"/>
          <w:i/>
          <w:color w:val="2D3B45"/>
          <w:sz w:val="28"/>
          <w:szCs w:val="28"/>
          <w:highlight w:val="white"/>
        </w:rPr>
        <w:t>ill would allow for surgical procedures that prevent impairment, but would disallow largely cosmetic procedures (including male circumcision or the surgical modification of "atypical or ambiguous" genitalia).</w:t>
      </w:r>
    </w:p>
    <w:p w14:paraId="00000003" w14:textId="77777777" w:rsidR="0070794E" w:rsidRDefault="0070794E">
      <w:pPr>
        <w:spacing w:before="180" w:after="180"/>
        <w:jc w:val="center"/>
        <w:rPr>
          <w:rFonts w:ascii="Times New Roman" w:eastAsia="Times New Roman" w:hAnsi="Times New Roman" w:cs="Times New Roman"/>
          <w:i/>
          <w:color w:val="2D3B45"/>
          <w:sz w:val="28"/>
          <w:szCs w:val="28"/>
          <w:highlight w:val="white"/>
        </w:rPr>
      </w:pPr>
    </w:p>
    <w:p w14:paraId="00000004" w14:textId="77777777" w:rsidR="0070794E" w:rsidRDefault="0009698E">
      <w:pPr>
        <w:spacing w:before="180" w:after="180"/>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u w:val="single"/>
        </w:rPr>
        <w:t>Position:</w:t>
      </w:r>
      <w:r>
        <w:rPr>
          <w:rFonts w:ascii="Times New Roman" w:eastAsia="Times New Roman" w:hAnsi="Times New Roman" w:cs="Times New Roman"/>
          <w:color w:val="2D3B45"/>
          <w:sz w:val="28"/>
          <w:szCs w:val="28"/>
        </w:rPr>
        <w:t xml:space="preserve"> This bill restricts religious freedo</w:t>
      </w:r>
      <w:r>
        <w:rPr>
          <w:rFonts w:ascii="Times New Roman" w:eastAsia="Times New Roman" w:hAnsi="Times New Roman" w:cs="Times New Roman"/>
          <w:color w:val="2D3B45"/>
          <w:sz w:val="28"/>
          <w:szCs w:val="28"/>
        </w:rPr>
        <w:t>m and does not appropriately classify potential fertility and mental health consequences as "impairments."</w:t>
      </w:r>
    </w:p>
    <w:p w14:paraId="00000005" w14:textId="77777777" w:rsidR="0070794E" w:rsidRDefault="0070794E">
      <w:pPr>
        <w:spacing w:before="180" w:after="180"/>
        <w:rPr>
          <w:rFonts w:ascii="Times New Roman" w:eastAsia="Times New Roman" w:hAnsi="Times New Roman" w:cs="Times New Roman"/>
          <w:color w:val="2D3B45"/>
          <w:sz w:val="28"/>
          <w:szCs w:val="28"/>
        </w:rPr>
      </w:pPr>
    </w:p>
    <w:p w14:paraId="00000006" w14:textId="77777777" w:rsidR="0070794E" w:rsidRDefault="0009698E">
      <w:pPr>
        <w:rPr>
          <w:rFonts w:ascii="Times New Roman" w:eastAsia="Times New Roman" w:hAnsi="Times New Roman" w:cs="Times New Roman"/>
          <w:b/>
          <w:color w:val="2D3B45"/>
          <w:sz w:val="36"/>
          <w:szCs w:val="36"/>
        </w:rPr>
      </w:pPr>
      <w:r>
        <w:rPr>
          <w:rFonts w:ascii="Times New Roman" w:eastAsia="Times New Roman" w:hAnsi="Times New Roman" w:cs="Times New Roman"/>
          <w:b/>
          <w:color w:val="2D3B45"/>
          <w:sz w:val="36"/>
          <w:szCs w:val="36"/>
        </w:rPr>
        <w:t xml:space="preserve">INTRODUCTION: </w:t>
      </w:r>
    </w:p>
    <w:p w14:paraId="00000007" w14:textId="77777777" w:rsidR="0070794E" w:rsidRDefault="0070794E">
      <w:pPr>
        <w:rPr>
          <w:rFonts w:ascii="Times New Roman" w:eastAsia="Times New Roman" w:hAnsi="Times New Roman" w:cs="Times New Roman"/>
          <w:b/>
          <w:color w:val="2D3B45"/>
          <w:sz w:val="28"/>
          <w:szCs w:val="28"/>
        </w:rPr>
      </w:pPr>
    </w:p>
    <w:p w14:paraId="00000008"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Impairment is defined as “an injury, illness, or congenital condition that causes or is likely to cause a loss or difference of phys</w:t>
      </w:r>
      <w:r>
        <w:rPr>
          <w:rFonts w:ascii="Times New Roman" w:eastAsia="Times New Roman" w:hAnsi="Times New Roman" w:cs="Times New Roman"/>
          <w:color w:val="2D3B45"/>
          <w:sz w:val="28"/>
          <w:szCs w:val="28"/>
        </w:rPr>
        <w:t xml:space="preserve">iological or psychological function” (Chadwick, 2019). Firstly, the law does not define impairment in any capacity, and simply leaves the term to be interpreted by the legislature. The ambiguity created by using the term impairment with no further context </w:t>
      </w:r>
      <w:r>
        <w:rPr>
          <w:rFonts w:ascii="Times New Roman" w:eastAsia="Times New Roman" w:hAnsi="Times New Roman" w:cs="Times New Roman"/>
          <w:color w:val="2D3B45"/>
          <w:sz w:val="28"/>
          <w:szCs w:val="28"/>
        </w:rPr>
        <w:t xml:space="preserve">is unacceptable. The legislative body could choose to interpret the term in multiple ways, which would produce inconsistencies in regulation across the state of Massachusetts. </w:t>
      </w:r>
    </w:p>
    <w:p w14:paraId="00000009" w14:textId="77777777" w:rsidR="0070794E" w:rsidRDefault="0070794E">
      <w:pPr>
        <w:rPr>
          <w:rFonts w:ascii="Times New Roman" w:eastAsia="Times New Roman" w:hAnsi="Times New Roman" w:cs="Times New Roman"/>
          <w:color w:val="2D3B45"/>
          <w:sz w:val="28"/>
          <w:szCs w:val="28"/>
        </w:rPr>
      </w:pPr>
    </w:p>
    <w:p w14:paraId="0000000A"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The regulation of bodies by the government has become a popular political topi</w:t>
      </w:r>
      <w:r>
        <w:rPr>
          <w:rFonts w:ascii="Times New Roman" w:eastAsia="Times New Roman" w:hAnsi="Times New Roman" w:cs="Times New Roman"/>
          <w:color w:val="2D3B45"/>
          <w:sz w:val="28"/>
          <w:szCs w:val="28"/>
        </w:rPr>
        <w:t xml:space="preserve">c at both the state and federal level of American legislature. Today, we are arguing against enacting the proposed legislation because of its issues with ambiguity and its lack of alignment with Constitutional law. We would like to introduce this argument </w:t>
      </w:r>
      <w:r>
        <w:rPr>
          <w:rFonts w:ascii="Times New Roman" w:eastAsia="Times New Roman" w:hAnsi="Times New Roman" w:cs="Times New Roman"/>
          <w:color w:val="2D3B45"/>
          <w:sz w:val="28"/>
          <w:szCs w:val="28"/>
        </w:rPr>
        <w:t>through a story that highlights the intentions of this piece of legislation.</w:t>
      </w:r>
    </w:p>
    <w:p w14:paraId="0000000B" w14:textId="77777777" w:rsidR="0070794E" w:rsidRDefault="0070794E">
      <w:pPr>
        <w:rPr>
          <w:rFonts w:ascii="Times New Roman" w:eastAsia="Times New Roman" w:hAnsi="Times New Roman" w:cs="Times New Roman"/>
          <w:color w:val="2D3B45"/>
          <w:sz w:val="28"/>
          <w:szCs w:val="28"/>
        </w:rPr>
      </w:pPr>
    </w:p>
    <w:p w14:paraId="0000000C"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The story is about Jack, an intersex child born in the UK to Juliet and Will Swire in 2014. “Jack was born with both male and female anatomy, with ovarian and testicular tissue, and genitals that could belong to either a boy or a girl.” (</w:t>
      </w:r>
      <w:proofErr w:type="spellStart"/>
      <w:r>
        <w:rPr>
          <w:rFonts w:ascii="Times New Roman" w:eastAsia="Times New Roman" w:hAnsi="Times New Roman" w:cs="Times New Roman"/>
          <w:color w:val="2D3B45"/>
          <w:sz w:val="28"/>
          <w:szCs w:val="28"/>
        </w:rPr>
        <w:t>Kleeman</w:t>
      </w:r>
      <w:proofErr w:type="spellEnd"/>
      <w:r>
        <w:rPr>
          <w:rFonts w:ascii="Times New Roman" w:eastAsia="Times New Roman" w:hAnsi="Times New Roman" w:cs="Times New Roman"/>
          <w:color w:val="2D3B45"/>
          <w:sz w:val="28"/>
          <w:szCs w:val="28"/>
        </w:rPr>
        <w:t xml:space="preserve">, 2016). </w:t>
      </w:r>
    </w:p>
    <w:p w14:paraId="0000000D" w14:textId="77777777" w:rsidR="0070794E" w:rsidRDefault="0070794E">
      <w:pPr>
        <w:rPr>
          <w:rFonts w:ascii="Times New Roman" w:eastAsia="Times New Roman" w:hAnsi="Times New Roman" w:cs="Times New Roman"/>
          <w:color w:val="2D3B45"/>
          <w:sz w:val="28"/>
          <w:szCs w:val="28"/>
        </w:rPr>
      </w:pPr>
    </w:p>
    <w:p w14:paraId="0000000E"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At the hospital, Jack’s birth was greeted with malevolence, as Juliet, the mother, states: “One of the beautiful parts of having a baby is being able to share the joy that this tiny, newborn person has entered the world,” Juliet says. “We could have announ</w:t>
      </w:r>
      <w:r>
        <w:rPr>
          <w:rFonts w:ascii="Times New Roman" w:eastAsia="Times New Roman" w:hAnsi="Times New Roman" w:cs="Times New Roman"/>
          <w:color w:val="2D3B45"/>
          <w:sz w:val="28"/>
          <w:szCs w:val="28"/>
        </w:rPr>
        <w:t>ced that our baby had been born with complications that mean we don’t know if he’s a boy or a girl. But the doctors took that away from us without any explanation.” By encouraging them to keep Jack a secret, the doctors made them feel there was something s</w:t>
      </w:r>
      <w:r>
        <w:rPr>
          <w:rFonts w:ascii="Times New Roman" w:eastAsia="Times New Roman" w:hAnsi="Times New Roman" w:cs="Times New Roman"/>
          <w:color w:val="2D3B45"/>
          <w:sz w:val="28"/>
          <w:szCs w:val="28"/>
        </w:rPr>
        <w:t>hameful about his condition, she says. “It set the precedent for how other people were going to perceive it.” (</w:t>
      </w:r>
      <w:proofErr w:type="spellStart"/>
      <w:r>
        <w:rPr>
          <w:rFonts w:ascii="Times New Roman" w:eastAsia="Times New Roman" w:hAnsi="Times New Roman" w:cs="Times New Roman"/>
          <w:color w:val="2D3B45"/>
          <w:sz w:val="28"/>
          <w:szCs w:val="28"/>
        </w:rPr>
        <w:t>Kleeman</w:t>
      </w:r>
      <w:proofErr w:type="spellEnd"/>
      <w:r>
        <w:rPr>
          <w:rFonts w:ascii="Times New Roman" w:eastAsia="Times New Roman" w:hAnsi="Times New Roman" w:cs="Times New Roman"/>
          <w:color w:val="2D3B45"/>
          <w:sz w:val="28"/>
          <w:szCs w:val="28"/>
        </w:rPr>
        <w:t>, 2016).</w:t>
      </w:r>
    </w:p>
    <w:p w14:paraId="0000000F" w14:textId="77777777" w:rsidR="0070794E" w:rsidRDefault="0070794E">
      <w:pPr>
        <w:rPr>
          <w:rFonts w:ascii="Times New Roman" w:eastAsia="Times New Roman" w:hAnsi="Times New Roman" w:cs="Times New Roman"/>
          <w:color w:val="2D3B45"/>
          <w:sz w:val="28"/>
          <w:szCs w:val="28"/>
        </w:rPr>
      </w:pPr>
    </w:p>
    <w:p w14:paraId="00000010"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 xml:space="preserve">“The pressure of making choices on Jack’s behalf has been tough on the </w:t>
      </w:r>
      <w:proofErr w:type="spellStart"/>
      <w:r>
        <w:rPr>
          <w:rFonts w:ascii="Times New Roman" w:eastAsia="Times New Roman" w:hAnsi="Times New Roman" w:cs="Times New Roman"/>
          <w:color w:val="2D3B45"/>
          <w:sz w:val="28"/>
          <w:szCs w:val="28"/>
        </w:rPr>
        <w:t>Swires</w:t>
      </w:r>
      <w:proofErr w:type="spellEnd"/>
      <w:r>
        <w:rPr>
          <w:rFonts w:ascii="Times New Roman" w:eastAsia="Times New Roman" w:hAnsi="Times New Roman" w:cs="Times New Roman"/>
          <w:color w:val="2D3B45"/>
          <w:sz w:val="28"/>
          <w:szCs w:val="28"/>
        </w:rPr>
        <w:t xml:space="preserve">. “I’m confident we have made the right decision,” </w:t>
      </w:r>
      <w:r>
        <w:rPr>
          <w:rFonts w:ascii="Times New Roman" w:eastAsia="Times New Roman" w:hAnsi="Times New Roman" w:cs="Times New Roman"/>
          <w:color w:val="2D3B45"/>
          <w:sz w:val="28"/>
          <w:szCs w:val="28"/>
        </w:rPr>
        <w:t xml:space="preserve">says Juliet. “I don’t see him as strikingly different to his brothers. But there are flashes of doubt – generally around surgery days, when we are making the decision to make him a certain way. Based on all the information we’ve been given – but still, we </w:t>
      </w:r>
      <w:r>
        <w:rPr>
          <w:rFonts w:ascii="Times New Roman" w:eastAsia="Times New Roman" w:hAnsi="Times New Roman" w:cs="Times New Roman"/>
          <w:color w:val="2D3B45"/>
          <w:sz w:val="28"/>
          <w:szCs w:val="28"/>
        </w:rPr>
        <w:t>are the ones making the decisions.” She adds: “One of the doctors described it to us as your baby being born with an extra nose on their face. Would you leave it there, or would you fix it?”” (</w:t>
      </w:r>
      <w:proofErr w:type="spellStart"/>
      <w:r>
        <w:rPr>
          <w:rFonts w:ascii="Times New Roman" w:eastAsia="Times New Roman" w:hAnsi="Times New Roman" w:cs="Times New Roman"/>
          <w:color w:val="2D3B45"/>
          <w:sz w:val="28"/>
          <w:szCs w:val="28"/>
        </w:rPr>
        <w:t>Kleeman</w:t>
      </w:r>
      <w:proofErr w:type="spellEnd"/>
      <w:r>
        <w:rPr>
          <w:rFonts w:ascii="Times New Roman" w:eastAsia="Times New Roman" w:hAnsi="Times New Roman" w:cs="Times New Roman"/>
          <w:color w:val="2D3B45"/>
          <w:sz w:val="28"/>
          <w:szCs w:val="28"/>
        </w:rPr>
        <w:t>, 2016).</w:t>
      </w:r>
    </w:p>
    <w:p w14:paraId="00000011" w14:textId="77777777" w:rsidR="0070794E" w:rsidRDefault="0070794E">
      <w:pPr>
        <w:rPr>
          <w:rFonts w:ascii="Times New Roman" w:eastAsia="Times New Roman" w:hAnsi="Times New Roman" w:cs="Times New Roman"/>
          <w:color w:val="2D3B45"/>
          <w:sz w:val="28"/>
          <w:szCs w:val="28"/>
        </w:rPr>
      </w:pPr>
    </w:p>
    <w:p w14:paraId="00000012"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Jack’s story highlights the difficulty and har</w:t>
      </w:r>
      <w:r>
        <w:rPr>
          <w:rFonts w:ascii="Times New Roman" w:eastAsia="Times New Roman" w:hAnsi="Times New Roman" w:cs="Times New Roman"/>
          <w:color w:val="2D3B45"/>
          <w:sz w:val="28"/>
          <w:szCs w:val="28"/>
        </w:rPr>
        <w:t>m associated with the absence of medical autonomy for minors and children.  The purpose of this legislation is to provide a legal framework to outlaw practices that inflict significant trauma on minors. We are here today not to argue against the need for t</w:t>
      </w:r>
      <w:r>
        <w:rPr>
          <w:rFonts w:ascii="Times New Roman" w:eastAsia="Times New Roman" w:hAnsi="Times New Roman" w:cs="Times New Roman"/>
          <w:color w:val="2D3B45"/>
          <w:sz w:val="28"/>
          <w:szCs w:val="28"/>
        </w:rPr>
        <w:t>his important legislation and distinction, but to protect the agency and right to choice of the youth and to stress the necessity of this choice. This law contains significant gaps in its description of impairment and limits the individual’s constitutional</w:t>
      </w:r>
      <w:r>
        <w:rPr>
          <w:rFonts w:ascii="Times New Roman" w:eastAsia="Times New Roman" w:hAnsi="Times New Roman" w:cs="Times New Roman"/>
          <w:color w:val="2D3B45"/>
          <w:sz w:val="28"/>
          <w:szCs w:val="28"/>
        </w:rPr>
        <w:t xml:space="preserve"> right to liberty via the Fourteenth Amendment (U.S. Constitution Annotated, 2019).</w:t>
      </w:r>
    </w:p>
    <w:p w14:paraId="00000013" w14:textId="77777777" w:rsidR="0070794E" w:rsidRDefault="0070794E">
      <w:pPr>
        <w:spacing w:before="180" w:after="180"/>
        <w:rPr>
          <w:rFonts w:ascii="Times New Roman" w:eastAsia="Times New Roman" w:hAnsi="Times New Roman" w:cs="Times New Roman"/>
          <w:color w:val="2D3B45"/>
          <w:sz w:val="28"/>
          <w:szCs w:val="28"/>
        </w:rPr>
      </w:pPr>
    </w:p>
    <w:p w14:paraId="00000014" w14:textId="77777777" w:rsidR="0070794E" w:rsidRDefault="0070794E">
      <w:pPr>
        <w:spacing w:before="180" w:after="180"/>
        <w:rPr>
          <w:rFonts w:ascii="Times New Roman" w:eastAsia="Times New Roman" w:hAnsi="Times New Roman" w:cs="Times New Roman"/>
          <w:color w:val="2D3B45"/>
          <w:sz w:val="28"/>
          <w:szCs w:val="28"/>
        </w:rPr>
      </w:pPr>
    </w:p>
    <w:p w14:paraId="00000015" w14:textId="77777777" w:rsidR="0070794E" w:rsidRDefault="0009698E">
      <w:pPr>
        <w:spacing w:before="180" w:after="180"/>
        <w:rPr>
          <w:rFonts w:ascii="Times New Roman" w:eastAsia="Times New Roman" w:hAnsi="Times New Roman" w:cs="Times New Roman"/>
          <w:b/>
          <w:color w:val="2D3B45"/>
          <w:sz w:val="36"/>
          <w:szCs w:val="36"/>
        </w:rPr>
      </w:pPr>
      <w:r>
        <w:rPr>
          <w:rFonts w:ascii="Times New Roman" w:eastAsia="Times New Roman" w:hAnsi="Times New Roman" w:cs="Times New Roman"/>
          <w:b/>
          <w:color w:val="2D3B45"/>
          <w:sz w:val="36"/>
          <w:szCs w:val="36"/>
        </w:rPr>
        <w:t>ARGUMENT:</w:t>
      </w:r>
    </w:p>
    <w:p w14:paraId="00000016"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 xml:space="preserve">Our argument against the enactment of the stated legislation contains three parts. We will examine the term impairment and its use in the proposed legislation. </w:t>
      </w:r>
      <w:r>
        <w:rPr>
          <w:rFonts w:ascii="Times New Roman" w:eastAsia="Times New Roman" w:hAnsi="Times New Roman" w:cs="Times New Roman"/>
          <w:color w:val="2D3B45"/>
          <w:sz w:val="28"/>
          <w:szCs w:val="28"/>
        </w:rPr>
        <w:t xml:space="preserve">Then, </w:t>
      </w:r>
      <w:r>
        <w:rPr>
          <w:rFonts w:ascii="Times New Roman" w:eastAsia="Times New Roman" w:hAnsi="Times New Roman" w:cs="Times New Roman"/>
          <w:color w:val="2D3B45"/>
          <w:sz w:val="28"/>
          <w:szCs w:val="28"/>
        </w:rPr>
        <w:lastRenderedPageBreak/>
        <w:t>we will discuss the legislation’s violation of constitutional law. To support this claim we will draw on arguments including fertility, choice of gender assignment, and the right to religious freedom. We would like to begin our argument by defining t</w:t>
      </w:r>
      <w:r>
        <w:rPr>
          <w:rFonts w:ascii="Times New Roman" w:eastAsia="Times New Roman" w:hAnsi="Times New Roman" w:cs="Times New Roman"/>
          <w:color w:val="2D3B45"/>
          <w:sz w:val="28"/>
          <w:szCs w:val="28"/>
        </w:rPr>
        <w:t xml:space="preserve">he term ‘impairment’ and examining its application in this legislation. </w:t>
      </w:r>
    </w:p>
    <w:p w14:paraId="00000017" w14:textId="77777777" w:rsidR="0070794E" w:rsidRDefault="0009698E">
      <w:pPr>
        <w:spacing w:before="180" w:after="180"/>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u w:val="single"/>
        </w:rPr>
        <w:t>Part 1:</w:t>
      </w:r>
      <w:r>
        <w:rPr>
          <w:rFonts w:ascii="Times New Roman" w:eastAsia="Times New Roman" w:hAnsi="Times New Roman" w:cs="Times New Roman"/>
          <w:color w:val="2D3B45"/>
          <w:sz w:val="28"/>
          <w:szCs w:val="28"/>
        </w:rPr>
        <w:t xml:space="preserve"> Defining Impairment</w:t>
      </w:r>
    </w:p>
    <w:p w14:paraId="00000018"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Impairment is defined as “an injury, illness, or congenital condition that causes or is likely to cause a loss or difference of physiological or psychologi</w:t>
      </w:r>
      <w:r>
        <w:rPr>
          <w:rFonts w:ascii="Times New Roman" w:eastAsia="Times New Roman" w:hAnsi="Times New Roman" w:cs="Times New Roman"/>
          <w:color w:val="2D3B45"/>
          <w:sz w:val="28"/>
          <w:szCs w:val="28"/>
        </w:rPr>
        <w:t>cal function” (Chadwick, 2019). Firstly, the law does not define impairment in any capacity, and simply leaves the term to be interpreted by the legislature. The ambiguity created by using the term impairment with no further context is unacceptable. The le</w:t>
      </w:r>
      <w:r>
        <w:rPr>
          <w:rFonts w:ascii="Times New Roman" w:eastAsia="Times New Roman" w:hAnsi="Times New Roman" w:cs="Times New Roman"/>
          <w:color w:val="2D3B45"/>
          <w:sz w:val="28"/>
          <w:szCs w:val="28"/>
        </w:rPr>
        <w:t xml:space="preserve">gislative body could choose to interpret the term in multiple ways, which would produce inconsistencies in regulation across the state of Massachusetts. </w:t>
      </w:r>
    </w:p>
    <w:p w14:paraId="00000019" w14:textId="77777777" w:rsidR="0070794E" w:rsidRDefault="0070794E">
      <w:pPr>
        <w:rPr>
          <w:rFonts w:ascii="Times New Roman" w:eastAsia="Times New Roman" w:hAnsi="Times New Roman" w:cs="Times New Roman"/>
          <w:color w:val="2D3B45"/>
          <w:sz w:val="28"/>
          <w:szCs w:val="28"/>
        </w:rPr>
      </w:pPr>
    </w:p>
    <w:p w14:paraId="0000001A"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Secondly, the term ‘impairment’ as defined above does not include infertility comprehensively or infa</w:t>
      </w:r>
      <w:r>
        <w:rPr>
          <w:rFonts w:ascii="Times New Roman" w:eastAsia="Times New Roman" w:hAnsi="Times New Roman" w:cs="Times New Roman"/>
          <w:color w:val="2D3B45"/>
          <w:sz w:val="28"/>
          <w:szCs w:val="28"/>
        </w:rPr>
        <w:t xml:space="preserve">llibly in its definition. It is also important to consider the implications of the term disability when discussing impairment. The term disability is defined as “the loss or limitation of opportunities to take part in society on an equal level with others </w:t>
      </w:r>
      <w:r>
        <w:rPr>
          <w:rFonts w:ascii="Times New Roman" w:eastAsia="Times New Roman" w:hAnsi="Times New Roman" w:cs="Times New Roman"/>
          <w:color w:val="2D3B45"/>
          <w:sz w:val="28"/>
          <w:szCs w:val="28"/>
        </w:rPr>
        <w:t>due to social and environmental barriers” (Chadwick, 2019). According to the American Disabilities Act of 1990, infertility should qualify as a disability. However, it does not qualify as a disability because infertility can be mitigated through corrective</w:t>
      </w:r>
      <w:r>
        <w:rPr>
          <w:rFonts w:ascii="Times New Roman" w:eastAsia="Times New Roman" w:hAnsi="Times New Roman" w:cs="Times New Roman"/>
          <w:color w:val="2D3B45"/>
          <w:sz w:val="28"/>
          <w:szCs w:val="28"/>
        </w:rPr>
        <w:t xml:space="preserve"> measures such as adoption. Thus, without contextualization, the use of the term impairment remains a problematic element of the law that creates ambiguity and inconsistency for the affected constituents.</w:t>
      </w:r>
    </w:p>
    <w:p w14:paraId="0000001B" w14:textId="77777777" w:rsidR="0070794E" w:rsidRDefault="0070794E">
      <w:pPr>
        <w:rPr>
          <w:rFonts w:ascii="Times New Roman" w:eastAsia="Times New Roman" w:hAnsi="Times New Roman" w:cs="Times New Roman"/>
          <w:color w:val="2D3B45"/>
          <w:sz w:val="28"/>
          <w:szCs w:val="28"/>
        </w:rPr>
      </w:pPr>
    </w:p>
    <w:p w14:paraId="0000001C"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Finally, it is important to examine the ways in which this law extends beyond ‘preventing impairments’ and limits the freedom of the individual to choose surgical cosmetic procedures of genitalia (U.S. Constitution Annotated, 2019). The Fourteenth Amendmen</w:t>
      </w:r>
      <w:r>
        <w:rPr>
          <w:rFonts w:ascii="Times New Roman" w:eastAsia="Times New Roman" w:hAnsi="Times New Roman" w:cs="Times New Roman"/>
          <w:color w:val="2D3B45"/>
          <w:sz w:val="28"/>
          <w:szCs w:val="28"/>
        </w:rPr>
        <w:t>t states that “no state shall make or enforce any law which shall abridge the privileges or immunities of citizens of the United States; nor shall any state deprive any person of life, liberty, or property, without due process of law; nor deny to any perso</w:t>
      </w:r>
      <w:r>
        <w:rPr>
          <w:rFonts w:ascii="Times New Roman" w:eastAsia="Times New Roman" w:hAnsi="Times New Roman" w:cs="Times New Roman"/>
          <w:color w:val="2D3B45"/>
          <w:sz w:val="28"/>
          <w:szCs w:val="28"/>
        </w:rPr>
        <w:t xml:space="preserve">n within its jurisdiction the equal protection of the laws” (U.S. Constitution Annotated, 2019). The current structure of this legislation </w:t>
      </w:r>
      <w:r>
        <w:rPr>
          <w:rFonts w:ascii="Times New Roman" w:eastAsia="Times New Roman" w:hAnsi="Times New Roman" w:cs="Times New Roman"/>
          <w:color w:val="2D3B45"/>
          <w:sz w:val="28"/>
          <w:szCs w:val="28"/>
        </w:rPr>
        <w:lastRenderedPageBreak/>
        <w:t>deprives an adolescent of their right to liberty by removing the agency of an adolescence’s choice (with parental con</w:t>
      </w:r>
      <w:r>
        <w:rPr>
          <w:rFonts w:ascii="Times New Roman" w:eastAsia="Times New Roman" w:hAnsi="Times New Roman" w:cs="Times New Roman"/>
          <w:color w:val="2D3B45"/>
          <w:sz w:val="28"/>
          <w:szCs w:val="28"/>
        </w:rPr>
        <w:t>sent) to surgically alter their genitalia.</w:t>
      </w:r>
    </w:p>
    <w:p w14:paraId="0000001D" w14:textId="77777777" w:rsidR="0070794E" w:rsidRDefault="0070794E">
      <w:pPr>
        <w:rPr>
          <w:rFonts w:ascii="Times New Roman" w:eastAsia="Times New Roman" w:hAnsi="Times New Roman" w:cs="Times New Roman"/>
          <w:color w:val="2D3B45"/>
          <w:sz w:val="28"/>
          <w:szCs w:val="28"/>
        </w:rPr>
      </w:pPr>
    </w:p>
    <w:p w14:paraId="0000001E"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u w:val="single"/>
        </w:rPr>
        <w:t>Part 2:</w:t>
      </w:r>
      <w:r>
        <w:rPr>
          <w:rFonts w:ascii="Times New Roman" w:eastAsia="Times New Roman" w:hAnsi="Times New Roman" w:cs="Times New Roman"/>
          <w:color w:val="2D3B45"/>
          <w:sz w:val="28"/>
          <w:szCs w:val="28"/>
        </w:rPr>
        <w:t xml:space="preserve"> Fertility</w:t>
      </w:r>
    </w:p>
    <w:p w14:paraId="0000001F" w14:textId="77777777" w:rsidR="0070794E" w:rsidRDefault="0070794E">
      <w:pPr>
        <w:rPr>
          <w:rFonts w:ascii="Times New Roman" w:eastAsia="Times New Roman" w:hAnsi="Times New Roman" w:cs="Times New Roman"/>
          <w:color w:val="2D3B45"/>
          <w:sz w:val="28"/>
          <w:szCs w:val="28"/>
        </w:rPr>
      </w:pPr>
    </w:p>
    <w:p w14:paraId="00000020"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Fertility represents another key issue that is missing from the proposed legislation. The reproductive rights of an individual are defined by the United Nations as the “rights [that] rest on th</w:t>
      </w:r>
      <w:r>
        <w:rPr>
          <w:rFonts w:ascii="Times New Roman" w:eastAsia="Times New Roman" w:hAnsi="Times New Roman" w:cs="Times New Roman"/>
          <w:color w:val="2D3B45"/>
          <w:sz w:val="28"/>
          <w:szCs w:val="28"/>
        </w:rPr>
        <w:t>e recognition of the basic right of all couples and individuals to decide freely and responsibly the number, spacing and timing of their children and to have the information and means to do so, and the right to attain the highest standard of sexual and rep</w:t>
      </w:r>
      <w:r>
        <w:rPr>
          <w:rFonts w:ascii="Times New Roman" w:eastAsia="Times New Roman" w:hAnsi="Times New Roman" w:cs="Times New Roman"/>
          <w:color w:val="2D3B45"/>
          <w:sz w:val="28"/>
          <w:szCs w:val="28"/>
        </w:rPr>
        <w:t>roductive health. It also includes the right of all to make decisions concerning reproduction free of discrimination, coercion and violence as expressed in human rights documents. In the exercise of this right, they should take into account the needs of th</w:t>
      </w:r>
      <w:r>
        <w:rPr>
          <w:rFonts w:ascii="Times New Roman" w:eastAsia="Times New Roman" w:hAnsi="Times New Roman" w:cs="Times New Roman"/>
          <w:color w:val="2D3B45"/>
          <w:sz w:val="28"/>
          <w:szCs w:val="28"/>
        </w:rPr>
        <w:t xml:space="preserve">eir living and future children and their responsibilities towards the community.” (ICPD </w:t>
      </w:r>
      <w:proofErr w:type="spellStart"/>
      <w:r>
        <w:rPr>
          <w:rFonts w:ascii="Times New Roman" w:eastAsia="Times New Roman" w:hAnsi="Times New Roman" w:cs="Times New Roman"/>
          <w:color w:val="2D3B45"/>
          <w:sz w:val="28"/>
          <w:szCs w:val="28"/>
        </w:rPr>
        <w:t>Programme</w:t>
      </w:r>
      <w:proofErr w:type="spellEnd"/>
      <w:r>
        <w:rPr>
          <w:rFonts w:ascii="Times New Roman" w:eastAsia="Times New Roman" w:hAnsi="Times New Roman" w:cs="Times New Roman"/>
          <w:color w:val="2D3B45"/>
          <w:sz w:val="28"/>
          <w:szCs w:val="28"/>
        </w:rPr>
        <w:t xml:space="preserve"> of Action, 1994).</w:t>
      </w:r>
    </w:p>
    <w:p w14:paraId="00000021" w14:textId="77777777" w:rsidR="0070794E" w:rsidRDefault="0070794E">
      <w:pPr>
        <w:rPr>
          <w:rFonts w:ascii="Times New Roman" w:eastAsia="Times New Roman" w:hAnsi="Times New Roman" w:cs="Times New Roman"/>
          <w:color w:val="2D3B45"/>
          <w:sz w:val="28"/>
          <w:szCs w:val="28"/>
        </w:rPr>
      </w:pPr>
    </w:p>
    <w:p w14:paraId="00000022"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In recent years, the relationship between fertility and In-vitro fertilization (IVF) has become a highly debated topic, and its evolution i</w:t>
      </w:r>
      <w:r>
        <w:rPr>
          <w:rFonts w:ascii="Times New Roman" w:eastAsia="Times New Roman" w:hAnsi="Times New Roman" w:cs="Times New Roman"/>
          <w:color w:val="2D3B45"/>
          <w:sz w:val="28"/>
          <w:szCs w:val="28"/>
        </w:rPr>
        <w:t>ncludes the idea of the right to kinship or the right to have biologically related kin. Mary Warnock, a prominent English philosopher, and Richard Edwards, an English psychologist and pioneer of reproductive medicine, represent grounding voices on fertilit</w:t>
      </w:r>
      <w:r>
        <w:rPr>
          <w:rFonts w:ascii="Times New Roman" w:eastAsia="Times New Roman" w:hAnsi="Times New Roman" w:cs="Times New Roman"/>
          <w:color w:val="2D3B45"/>
          <w:sz w:val="28"/>
          <w:szCs w:val="28"/>
        </w:rPr>
        <w:t>y as a right for all individuals (Birkett, 2002, Wilson, 2010).</w:t>
      </w:r>
    </w:p>
    <w:p w14:paraId="00000023" w14:textId="77777777" w:rsidR="0070794E" w:rsidRDefault="0070794E">
      <w:pPr>
        <w:rPr>
          <w:rFonts w:ascii="Times New Roman" w:eastAsia="Times New Roman" w:hAnsi="Times New Roman" w:cs="Times New Roman"/>
          <w:color w:val="2D3B45"/>
          <w:sz w:val="28"/>
          <w:szCs w:val="28"/>
        </w:rPr>
      </w:pPr>
    </w:p>
    <w:p w14:paraId="00000024"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The translation of reproductive rights into enforceable law has already begun, thus making this legislation behind current reproductive rights standards. Peter Singer describes reproductive l</w:t>
      </w:r>
      <w:r>
        <w:rPr>
          <w:rFonts w:ascii="Times New Roman" w:eastAsia="Times New Roman" w:hAnsi="Times New Roman" w:cs="Times New Roman"/>
          <w:color w:val="2D3B45"/>
          <w:sz w:val="28"/>
          <w:szCs w:val="28"/>
        </w:rPr>
        <w:t xml:space="preserve">aw in Australia and compares it to the UK and the US in his article, </w:t>
      </w:r>
      <w:r>
        <w:rPr>
          <w:rFonts w:ascii="Times New Roman" w:eastAsia="Times New Roman" w:hAnsi="Times New Roman" w:cs="Times New Roman"/>
          <w:i/>
          <w:color w:val="2D3B45"/>
          <w:sz w:val="28"/>
          <w:szCs w:val="28"/>
        </w:rPr>
        <w:t>Making Laws on Making Babies</w:t>
      </w:r>
      <w:r>
        <w:rPr>
          <w:rFonts w:ascii="Times New Roman" w:eastAsia="Times New Roman" w:hAnsi="Times New Roman" w:cs="Times New Roman"/>
          <w:color w:val="2D3B45"/>
          <w:sz w:val="28"/>
          <w:szCs w:val="28"/>
        </w:rPr>
        <w:t>, where he states “This committee … must look to two principles: that childless couples should be assisted in fulfilling their desire to have children, and tha</w:t>
      </w:r>
      <w:r>
        <w:rPr>
          <w:rFonts w:ascii="Times New Roman" w:eastAsia="Times New Roman" w:hAnsi="Times New Roman" w:cs="Times New Roman"/>
          <w:color w:val="2D3B45"/>
          <w:sz w:val="28"/>
          <w:szCs w:val="28"/>
        </w:rPr>
        <w:t xml:space="preserve">t human life shall be preserved and respected at all times” (Singer, 1985). Although mostly related to IVF, Singer does note the right to kinship as a common theme (Singer, 1985). Using these arguments that (mostly) promote inclusivity, it could be argued </w:t>
      </w:r>
      <w:r>
        <w:rPr>
          <w:rFonts w:ascii="Times New Roman" w:eastAsia="Times New Roman" w:hAnsi="Times New Roman" w:cs="Times New Roman"/>
          <w:color w:val="2D3B45"/>
          <w:sz w:val="28"/>
          <w:szCs w:val="28"/>
        </w:rPr>
        <w:t>that the proposed legislation limits the right to kinship by not directly including fertility in addition to impairment as notable exceptions to the charter (Wilson, 2010).</w:t>
      </w:r>
    </w:p>
    <w:p w14:paraId="00000025" w14:textId="77777777" w:rsidR="0070794E" w:rsidRDefault="0070794E">
      <w:pPr>
        <w:rPr>
          <w:rFonts w:ascii="Times New Roman" w:eastAsia="Times New Roman" w:hAnsi="Times New Roman" w:cs="Times New Roman"/>
          <w:color w:val="2D3B45"/>
          <w:sz w:val="28"/>
          <w:szCs w:val="28"/>
        </w:rPr>
      </w:pPr>
    </w:p>
    <w:p w14:paraId="00000026"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u w:val="single"/>
        </w:rPr>
        <w:lastRenderedPageBreak/>
        <w:t>Part 3:</w:t>
      </w:r>
      <w:r>
        <w:rPr>
          <w:rFonts w:ascii="Times New Roman" w:eastAsia="Times New Roman" w:hAnsi="Times New Roman" w:cs="Times New Roman"/>
          <w:color w:val="2D3B45"/>
          <w:sz w:val="28"/>
          <w:szCs w:val="28"/>
        </w:rPr>
        <w:t xml:space="preserve"> Gender Assignment Choice</w:t>
      </w:r>
    </w:p>
    <w:p w14:paraId="00000027" w14:textId="77777777" w:rsidR="0070794E" w:rsidRDefault="0070794E">
      <w:pPr>
        <w:rPr>
          <w:rFonts w:ascii="Times New Roman" w:eastAsia="Times New Roman" w:hAnsi="Times New Roman" w:cs="Times New Roman"/>
          <w:color w:val="2D3B45"/>
          <w:sz w:val="28"/>
          <w:szCs w:val="28"/>
          <w:u w:val="single"/>
        </w:rPr>
      </w:pPr>
    </w:p>
    <w:p w14:paraId="00000028"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The most important ambiguity concerning the prop</w:t>
      </w:r>
      <w:r>
        <w:rPr>
          <w:rFonts w:ascii="Times New Roman" w:eastAsia="Times New Roman" w:hAnsi="Times New Roman" w:cs="Times New Roman"/>
          <w:color w:val="2D3B45"/>
          <w:sz w:val="28"/>
          <w:szCs w:val="28"/>
        </w:rPr>
        <w:t>osed legislation remains the lack of agency regarding the adolescent’s choice in gender assignment. The medicalization of the intersex condition has caused significant trauma for intersex individuals. Not only is this trauma unwarranted, but the commonalit</w:t>
      </w:r>
      <w:r>
        <w:rPr>
          <w:rFonts w:ascii="Times New Roman" w:eastAsia="Times New Roman" w:hAnsi="Times New Roman" w:cs="Times New Roman"/>
          <w:color w:val="2D3B45"/>
          <w:sz w:val="28"/>
          <w:szCs w:val="28"/>
        </w:rPr>
        <w:t>y of a child born with a disorder of sex development (DSD) is relatively high, with around “1.7% of people have intersex traits, roughly the same proportion of the population who have red hair, according to the Office of the United Nations High Commissione</w:t>
      </w:r>
      <w:r>
        <w:rPr>
          <w:rFonts w:ascii="Times New Roman" w:eastAsia="Times New Roman" w:hAnsi="Times New Roman" w:cs="Times New Roman"/>
          <w:color w:val="2D3B45"/>
          <w:sz w:val="28"/>
          <w:szCs w:val="28"/>
        </w:rPr>
        <w:t>r for Human Rights.” (</w:t>
      </w:r>
      <w:proofErr w:type="spellStart"/>
      <w:r>
        <w:rPr>
          <w:rFonts w:ascii="Times New Roman" w:eastAsia="Times New Roman" w:hAnsi="Times New Roman" w:cs="Times New Roman"/>
          <w:color w:val="2D3B45"/>
          <w:sz w:val="28"/>
          <w:szCs w:val="28"/>
        </w:rPr>
        <w:t>Kleeman</w:t>
      </w:r>
      <w:proofErr w:type="spellEnd"/>
      <w:r>
        <w:rPr>
          <w:rFonts w:ascii="Times New Roman" w:eastAsia="Times New Roman" w:hAnsi="Times New Roman" w:cs="Times New Roman"/>
          <w:color w:val="2D3B45"/>
          <w:sz w:val="28"/>
          <w:szCs w:val="28"/>
        </w:rPr>
        <w:t>, 2016).</w:t>
      </w:r>
    </w:p>
    <w:p w14:paraId="00000029" w14:textId="77777777" w:rsidR="0070794E" w:rsidRDefault="0070794E">
      <w:pPr>
        <w:rPr>
          <w:rFonts w:ascii="Times New Roman" w:eastAsia="Times New Roman" w:hAnsi="Times New Roman" w:cs="Times New Roman"/>
          <w:color w:val="2D3B45"/>
          <w:sz w:val="28"/>
          <w:szCs w:val="28"/>
        </w:rPr>
      </w:pPr>
    </w:p>
    <w:p w14:paraId="0000002A" w14:textId="77777777" w:rsidR="0070794E" w:rsidRDefault="0009698E">
      <w:pPr>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28"/>
          <w:szCs w:val="28"/>
        </w:rPr>
        <w:t>The United Nations has taken steps to mitigate the harm caused by this medicalization, as they state “[Article 88] the Special Rapporteur calls upon all States to repeal any law allowing intrusive and irreversible tre</w:t>
      </w:r>
      <w:r>
        <w:rPr>
          <w:rFonts w:ascii="Times New Roman" w:eastAsia="Times New Roman" w:hAnsi="Times New Roman" w:cs="Times New Roman"/>
          <w:color w:val="2D3B45"/>
          <w:sz w:val="28"/>
          <w:szCs w:val="28"/>
        </w:rPr>
        <w:t>atments, including forced genital-normalizing surgery, involuntary sterilization, unethical experimentation, medical display, “reparative therapies” or “conversion therapies”, when enforced or administered without the free and informed consent of the perso</w:t>
      </w:r>
      <w:r>
        <w:rPr>
          <w:rFonts w:ascii="Times New Roman" w:eastAsia="Times New Roman" w:hAnsi="Times New Roman" w:cs="Times New Roman"/>
          <w:color w:val="2D3B45"/>
          <w:sz w:val="28"/>
          <w:szCs w:val="28"/>
        </w:rPr>
        <w:t>n concerned. He also calls upon them to outlaw forced or coerced sterilization in all circumstances and provide special protection to individuals belonging to marginalized groups.” (Méndez, 2013).</w:t>
      </w:r>
    </w:p>
    <w:p w14:paraId="0000002B" w14:textId="77777777" w:rsidR="0070794E" w:rsidRDefault="0070794E">
      <w:pPr>
        <w:rPr>
          <w:rFonts w:ascii="Times New Roman" w:eastAsia="Times New Roman" w:hAnsi="Times New Roman" w:cs="Times New Roman"/>
          <w:color w:val="2D3B45"/>
          <w:sz w:val="28"/>
          <w:szCs w:val="28"/>
        </w:rPr>
      </w:pPr>
    </w:p>
    <w:p w14:paraId="0000002C" w14:textId="77777777" w:rsidR="0070794E" w:rsidRDefault="0009698E">
      <w:pPr>
        <w:rPr>
          <w:rFonts w:ascii="Times New Roman" w:eastAsia="Times New Roman" w:hAnsi="Times New Roman" w:cs="Times New Roman"/>
          <w:sz w:val="28"/>
          <w:szCs w:val="28"/>
          <w:highlight w:val="white"/>
        </w:rPr>
      </w:pPr>
      <w:r>
        <w:rPr>
          <w:rFonts w:ascii="Times New Roman" w:eastAsia="Times New Roman" w:hAnsi="Times New Roman" w:cs="Times New Roman"/>
          <w:color w:val="2D3B45"/>
          <w:sz w:val="28"/>
          <w:szCs w:val="28"/>
        </w:rPr>
        <w:t>Our argument resides with the agency of the adolescent. Although delayed surgical intervention and puberty suppression has become the most common model (Dutch), the individual should have the right to choose surgery and should not be limited by the state a</w:t>
      </w:r>
      <w:r>
        <w:rPr>
          <w:rFonts w:ascii="Times New Roman" w:eastAsia="Times New Roman" w:hAnsi="Times New Roman" w:cs="Times New Roman"/>
          <w:color w:val="2D3B45"/>
          <w:sz w:val="28"/>
          <w:szCs w:val="28"/>
        </w:rPr>
        <w:t>s it is a personal issue and not a societal issue (</w:t>
      </w:r>
      <w:proofErr w:type="spellStart"/>
      <w:r>
        <w:rPr>
          <w:rFonts w:ascii="Times New Roman" w:eastAsia="Times New Roman" w:hAnsi="Times New Roman" w:cs="Times New Roman"/>
          <w:color w:val="2D3B45"/>
          <w:sz w:val="28"/>
          <w:szCs w:val="28"/>
        </w:rPr>
        <w:t>Riittakerttu</w:t>
      </w:r>
      <w:proofErr w:type="spellEnd"/>
      <w:r>
        <w:rPr>
          <w:rFonts w:ascii="Times New Roman" w:eastAsia="Times New Roman" w:hAnsi="Times New Roman" w:cs="Times New Roman"/>
          <w:color w:val="2D3B45"/>
          <w:sz w:val="28"/>
          <w:szCs w:val="28"/>
        </w:rPr>
        <w:t xml:space="preserve"> et al., 2018).</w:t>
      </w:r>
    </w:p>
    <w:p w14:paraId="0000002D" w14:textId="77777777" w:rsidR="0070794E" w:rsidRDefault="0009698E">
      <w:pPr>
        <w:spacing w:before="180" w:after="180"/>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Being that laws such as this one are a part of a Power Field which implements Medical Social Control (Carroll, 2019), we must consider the ethical implications of gatekeeping tr</w:t>
      </w:r>
      <w:r>
        <w:rPr>
          <w:rFonts w:ascii="Times New Roman" w:eastAsia="Times New Roman" w:hAnsi="Times New Roman" w:cs="Times New Roman"/>
          <w:sz w:val="28"/>
          <w:szCs w:val="28"/>
          <w:highlight w:val="white"/>
        </w:rPr>
        <w:t xml:space="preserve">eatment options and body modification practices and how this perpetuates notions of marginalized groups. In the case of Good VS. </w:t>
      </w:r>
      <w:r>
        <w:rPr>
          <w:rFonts w:ascii="Times New Roman" w:eastAsia="Times New Roman" w:hAnsi="Times New Roman" w:cs="Times New Roman"/>
          <w:sz w:val="28"/>
          <w:szCs w:val="28"/>
        </w:rPr>
        <w:t>Iowa Dept. of Human Services - Medical Associations, which deals with modification for the purpose of gender affirmation, it wa</w:t>
      </w:r>
      <w:r>
        <w:rPr>
          <w:rFonts w:ascii="Times New Roman" w:eastAsia="Times New Roman" w:hAnsi="Times New Roman" w:cs="Times New Roman"/>
          <w:sz w:val="28"/>
          <w:szCs w:val="28"/>
        </w:rPr>
        <w:t xml:space="preserve">s stated that “surgery to treat gender Dysphoria is a widely accepted, and medically necessary treatment for many individuals with gender dysphoria.” Surgical interventions are listed by the World Professional </w:t>
      </w:r>
      <w:r>
        <w:rPr>
          <w:rFonts w:ascii="Times New Roman" w:eastAsia="Times New Roman" w:hAnsi="Times New Roman" w:cs="Times New Roman"/>
          <w:sz w:val="28"/>
          <w:szCs w:val="28"/>
        </w:rPr>
        <w:lastRenderedPageBreak/>
        <w:t xml:space="preserve">Association for Transgender Health (WPATH) as </w:t>
      </w:r>
      <w:r>
        <w:rPr>
          <w:rFonts w:ascii="Times New Roman" w:eastAsia="Times New Roman" w:hAnsi="Times New Roman" w:cs="Times New Roman"/>
          <w:sz w:val="28"/>
          <w:szCs w:val="28"/>
        </w:rPr>
        <w:t>a valid and sometimes necessary treatment option. For these patients “relief from gender dysphoria cannot be achieved without modification of their primary and/or secondary sex characteristics to establish greater congruence with their gender identity.”</w:t>
      </w:r>
    </w:p>
    <w:p w14:paraId="0000002E" w14:textId="77777777" w:rsidR="0070794E" w:rsidRDefault="0009698E">
      <w:pPr>
        <w:spacing w:before="180" w:after="180"/>
        <w:rPr>
          <w:rFonts w:ascii="Times New Roman" w:eastAsia="Times New Roman" w:hAnsi="Times New Roman" w:cs="Times New Roman"/>
          <w:sz w:val="28"/>
          <w:szCs w:val="28"/>
        </w:rPr>
      </w:pPr>
      <w:r>
        <w:rPr>
          <w:rFonts w:ascii="Times New Roman" w:eastAsia="Times New Roman" w:hAnsi="Times New Roman" w:cs="Times New Roman"/>
          <w:sz w:val="28"/>
          <w:szCs w:val="28"/>
        </w:rPr>
        <w:t>Th</w:t>
      </w:r>
      <w:r>
        <w:rPr>
          <w:rFonts w:ascii="Times New Roman" w:eastAsia="Times New Roman" w:hAnsi="Times New Roman" w:cs="Times New Roman"/>
          <w:sz w:val="28"/>
          <w:szCs w:val="28"/>
        </w:rPr>
        <w:t>e federal courts have even declared that prisons who deny inmate’s access to these options, which are consistent with the standards stated by the WPATH, may be deemed as practicing cruel and unusual punishment under the 8th Amendment.</w:t>
      </w:r>
    </w:p>
    <w:p w14:paraId="0000002F" w14:textId="77777777" w:rsidR="0070794E" w:rsidRDefault="0009698E">
      <w:pPr>
        <w:spacing w:before="180" w:after="180"/>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“Adolescence is a cru</w:t>
      </w:r>
      <w:r>
        <w:rPr>
          <w:rFonts w:ascii="Times New Roman" w:eastAsia="Times New Roman" w:hAnsi="Times New Roman" w:cs="Times New Roman"/>
          <w:sz w:val="28"/>
          <w:szCs w:val="28"/>
          <w:highlight w:val="white"/>
        </w:rPr>
        <w:t>cial time for identity and psychosexual development in young people with gender identity concerns… For most children with GDC, whether GD will persist or desist will probably be determined between the ages of 10 and 13 years” in addition to this, “transgen</w:t>
      </w:r>
      <w:r>
        <w:rPr>
          <w:rFonts w:ascii="Times New Roman" w:eastAsia="Times New Roman" w:hAnsi="Times New Roman" w:cs="Times New Roman"/>
          <w:sz w:val="28"/>
          <w:szCs w:val="28"/>
          <w:highlight w:val="white"/>
        </w:rPr>
        <w:t>der-identifying youth present four to six times more often with depression and three to four times more often with self-harm and/or suicidal behavior compared with cisgender adolescents.” If these effects can be rectified by surgical interventions, it’s vi</w:t>
      </w:r>
      <w:r>
        <w:rPr>
          <w:rFonts w:ascii="Times New Roman" w:eastAsia="Times New Roman" w:hAnsi="Times New Roman" w:cs="Times New Roman"/>
          <w:sz w:val="28"/>
          <w:szCs w:val="28"/>
          <w:highlight w:val="white"/>
        </w:rPr>
        <w:t xml:space="preserve">tal that it remain an option to those at risk for psychiatric manifestations. </w:t>
      </w: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Kaltiala-Heino</w:t>
      </w:r>
      <w:proofErr w:type="spellEnd"/>
      <w:r>
        <w:rPr>
          <w:rFonts w:ascii="Times New Roman" w:eastAsia="Times New Roman" w:hAnsi="Times New Roman" w:cs="Times New Roman"/>
          <w:sz w:val="28"/>
          <w:szCs w:val="28"/>
        </w:rPr>
        <w:t xml:space="preserve">, Bergman, </w:t>
      </w:r>
      <w:proofErr w:type="spellStart"/>
      <w:r>
        <w:rPr>
          <w:rFonts w:ascii="Times New Roman" w:eastAsia="Times New Roman" w:hAnsi="Times New Roman" w:cs="Times New Roman"/>
          <w:sz w:val="28"/>
          <w:szCs w:val="28"/>
        </w:rPr>
        <w:t>Työläjärvi</w:t>
      </w:r>
      <w:proofErr w:type="spellEnd"/>
      <w:r>
        <w:rPr>
          <w:rFonts w:ascii="Times New Roman" w:eastAsia="Times New Roman" w:hAnsi="Times New Roman" w:cs="Times New Roman"/>
          <w:sz w:val="28"/>
          <w:szCs w:val="28"/>
        </w:rPr>
        <w:t xml:space="preserve">, &amp; </w:t>
      </w:r>
      <w:proofErr w:type="spellStart"/>
      <w:r>
        <w:rPr>
          <w:rFonts w:ascii="Times New Roman" w:eastAsia="Times New Roman" w:hAnsi="Times New Roman" w:cs="Times New Roman"/>
          <w:sz w:val="28"/>
          <w:szCs w:val="28"/>
        </w:rPr>
        <w:t>Frisén</w:t>
      </w:r>
      <w:proofErr w:type="spellEnd"/>
      <w:r>
        <w:rPr>
          <w:rFonts w:ascii="Times New Roman" w:eastAsia="Times New Roman" w:hAnsi="Times New Roman" w:cs="Times New Roman"/>
          <w:sz w:val="28"/>
          <w:szCs w:val="28"/>
        </w:rPr>
        <w:t>, 2018)</w:t>
      </w:r>
    </w:p>
    <w:p w14:paraId="00000030" w14:textId="77777777" w:rsidR="0070794E" w:rsidRDefault="0070794E">
      <w:pPr>
        <w:spacing w:before="180" w:after="180"/>
        <w:rPr>
          <w:rFonts w:ascii="Times New Roman" w:eastAsia="Times New Roman" w:hAnsi="Times New Roman" w:cs="Times New Roman"/>
          <w:sz w:val="28"/>
          <w:szCs w:val="28"/>
          <w:highlight w:val="white"/>
        </w:rPr>
      </w:pPr>
    </w:p>
    <w:p w14:paraId="00000031" w14:textId="77777777" w:rsidR="0070794E" w:rsidRDefault="0009698E">
      <w:pPr>
        <w:spacing w:before="180" w:after="18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u w:val="single"/>
        </w:rPr>
        <w:t>Part 4:</w:t>
      </w:r>
      <w:r>
        <w:rPr>
          <w:rFonts w:ascii="Times New Roman" w:eastAsia="Times New Roman" w:hAnsi="Times New Roman" w:cs="Times New Roman"/>
          <w:sz w:val="28"/>
          <w:szCs w:val="28"/>
          <w:highlight w:val="white"/>
        </w:rPr>
        <w:t xml:space="preserve"> Circumcision</w:t>
      </w:r>
    </w:p>
    <w:p w14:paraId="00000032" w14:textId="77777777" w:rsidR="0070794E" w:rsidRDefault="0070794E">
      <w:pPr>
        <w:spacing w:before="180" w:after="180"/>
        <w:rPr>
          <w:rFonts w:ascii="Times New Roman" w:eastAsia="Times New Roman" w:hAnsi="Times New Roman" w:cs="Times New Roman"/>
          <w:sz w:val="28"/>
          <w:szCs w:val="28"/>
          <w:highlight w:val="white"/>
          <w:u w:val="single"/>
        </w:rPr>
      </w:pPr>
    </w:p>
    <w:p w14:paraId="00000033" w14:textId="77777777" w:rsidR="0070794E" w:rsidRDefault="0009698E">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The final component of our argument remains the current legislation’s violation of the First Amendmen</w:t>
      </w:r>
      <w:r>
        <w:rPr>
          <w:rFonts w:ascii="Times New Roman" w:eastAsia="Times New Roman" w:hAnsi="Times New Roman" w:cs="Times New Roman"/>
          <w:sz w:val="28"/>
          <w:szCs w:val="28"/>
          <w:highlight w:val="white"/>
        </w:rPr>
        <w:t>t by preventing male circumcision. The First Amendment “guarantees freedoms concerning religion, expression, assembly, and the right to petition. It forbids Congress from both promoting one religion over others and also restricting an individual’s religiou</w:t>
      </w:r>
      <w:r>
        <w:rPr>
          <w:rFonts w:ascii="Times New Roman" w:eastAsia="Times New Roman" w:hAnsi="Times New Roman" w:cs="Times New Roman"/>
          <w:sz w:val="28"/>
          <w:szCs w:val="28"/>
          <w:highlight w:val="white"/>
        </w:rPr>
        <w:t>s practices. It guarantees freedom of expression by prohibiting Congress from restricting the press or the rights of individuals to speak freely.” (U.S. Constitution Annotated, 2019) By disallowing male circumcision, this legislation violates the 1st Amend</w:t>
      </w:r>
      <w:r>
        <w:rPr>
          <w:rFonts w:ascii="Times New Roman" w:eastAsia="Times New Roman" w:hAnsi="Times New Roman" w:cs="Times New Roman"/>
          <w:sz w:val="28"/>
          <w:szCs w:val="28"/>
          <w:highlight w:val="white"/>
        </w:rPr>
        <w:t>ment.</w:t>
      </w:r>
    </w:p>
    <w:p w14:paraId="00000034" w14:textId="77777777" w:rsidR="0070794E" w:rsidRDefault="0070794E">
      <w:pPr>
        <w:spacing w:before="180" w:after="180"/>
        <w:rPr>
          <w:rFonts w:ascii="Times New Roman" w:eastAsia="Times New Roman" w:hAnsi="Times New Roman" w:cs="Times New Roman"/>
          <w:sz w:val="28"/>
          <w:szCs w:val="28"/>
          <w:highlight w:val="white"/>
        </w:rPr>
      </w:pPr>
    </w:p>
    <w:p w14:paraId="00000035"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6"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7"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8"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9"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A"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B"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C"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D"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E"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3F"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40"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41"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42"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43" w14:textId="77777777" w:rsidR="0070794E" w:rsidRDefault="0070794E">
      <w:pPr>
        <w:spacing w:before="180" w:after="180"/>
        <w:rPr>
          <w:rFonts w:ascii="Times New Roman" w:eastAsia="Times New Roman" w:hAnsi="Times New Roman" w:cs="Times New Roman"/>
          <w:color w:val="2D3B45"/>
          <w:sz w:val="36"/>
          <w:szCs w:val="36"/>
          <w:highlight w:val="white"/>
          <w:u w:val="single"/>
        </w:rPr>
      </w:pPr>
    </w:p>
    <w:p w14:paraId="00000044" w14:textId="77777777" w:rsidR="0070794E" w:rsidRDefault="0009698E">
      <w:pPr>
        <w:spacing w:before="180" w:after="180"/>
        <w:rPr>
          <w:rFonts w:ascii="Times New Roman" w:eastAsia="Times New Roman" w:hAnsi="Times New Roman" w:cs="Times New Roman"/>
          <w:color w:val="2D3B45"/>
          <w:sz w:val="28"/>
          <w:szCs w:val="28"/>
        </w:rPr>
      </w:pPr>
      <w:r>
        <w:rPr>
          <w:rFonts w:ascii="Times New Roman" w:eastAsia="Times New Roman" w:hAnsi="Times New Roman" w:cs="Times New Roman"/>
          <w:color w:val="2D3B45"/>
          <w:sz w:val="36"/>
          <w:szCs w:val="36"/>
          <w:highlight w:val="white"/>
          <w:u w:val="single"/>
        </w:rPr>
        <w:t xml:space="preserve">REBUTTAL </w:t>
      </w:r>
    </w:p>
    <w:p w14:paraId="00000045" w14:textId="77777777" w:rsidR="0070794E" w:rsidRDefault="0009698E">
      <w:pPr>
        <w:numPr>
          <w:ilvl w:val="0"/>
          <w:numId w:val="1"/>
        </w:numPr>
        <w:spacing w:before="180"/>
        <w:rPr>
          <w:rFonts w:ascii="Times New Roman" w:eastAsia="Times New Roman" w:hAnsi="Times New Roman" w:cs="Times New Roman"/>
          <w:sz w:val="28"/>
          <w:szCs w:val="28"/>
        </w:rPr>
      </w:pPr>
      <w:r>
        <w:rPr>
          <w:rFonts w:ascii="Times New Roman" w:eastAsia="Times New Roman" w:hAnsi="Times New Roman" w:cs="Times New Roman"/>
          <w:sz w:val="28"/>
          <w:szCs w:val="28"/>
        </w:rPr>
        <w:t>Puts into question the validity of age of consent</w:t>
      </w:r>
    </w:p>
    <w:p w14:paraId="00000046"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arbitrary in the realm of medical autonomy </w:t>
      </w:r>
    </w:p>
    <w:p w14:paraId="00000047"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 xml:space="preserve">Neuroscience and psychosocial evidence confirms that teens can make cognitively rational choices in “cool” situations — that is, when they have access to information, face little pressure, and possibly have adult guidance. Teens make decisions differently </w:t>
      </w:r>
      <w:r>
        <w:rPr>
          <w:rFonts w:ascii="Times New Roman" w:eastAsia="Times New Roman" w:hAnsi="Times New Roman" w:cs="Times New Roman"/>
          <w:sz w:val="28"/>
          <w:szCs w:val="28"/>
          <w:highlight w:val="white"/>
        </w:rPr>
        <w:t>in “hot” situations that involve peer pressure, new experiences, and no time for reflection.” (</w:t>
      </w:r>
      <w:proofErr w:type="spellStart"/>
      <w:r>
        <w:rPr>
          <w:rFonts w:ascii="Times New Roman" w:eastAsia="Times New Roman" w:hAnsi="Times New Roman" w:cs="Times New Roman"/>
          <w:sz w:val="28"/>
          <w:szCs w:val="28"/>
          <w:highlight w:val="white"/>
        </w:rPr>
        <w:t>Drobac</w:t>
      </w:r>
      <w:proofErr w:type="spellEnd"/>
      <w:r>
        <w:rPr>
          <w:rFonts w:ascii="Times New Roman" w:eastAsia="Times New Roman" w:hAnsi="Times New Roman" w:cs="Times New Roman"/>
          <w:sz w:val="28"/>
          <w:szCs w:val="28"/>
          <w:highlight w:val="white"/>
        </w:rPr>
        <w:t>, 2017)</w:t>
      </w:r>
    </w:p>
    <w:p w14:paraId="00000048" w14:textId="77777777" w:rsidR="0070794E" w:rsidRDefault="0009698E">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This legislation protects minors </w:t>
      </w:r>
    </w:p>
    <w:p w14:paraId="00000049"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Using this type of language is not protecting the sexual agency of minors because it infringes on a minor’s ability to make any decisions at all for themselves. This reduces the agency of minors to the point of not allowing them any agency at all. </w:t>
      </w:r>
    </w:p>
    <w:p w14:paraId="0000004A"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This bi</w:t>
      </w:r>
      <w:r>
        <w:rPr>
          <w:rFonts w:ascii="Times New Roman" w:eastAsia="Times New Roman" w:hAnsi="Times New Roman" w:cs="Times New Roman"/>
          <w:sz w:val="28"/>
          <w:szCs w:val="28"/>
        </w:rPr>
        <w:t>ll could be an opportunity for collaboration from medical professionals, parents, and minors to have involvement in their healthcare.</w:t>
      </w:r>
    </w:p>
    <w:p w14:paraId="0000004B" w14:textId="77777777" w:rsidR="0070794E" w:rsidRDefault="0009698E">
      <w:pPr>
        <w:numPr>
          <w:ilvl w:val="2"/>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“One of the most important missions of medical ethics is to protect the rights of all individuals and ensure that they exe</w:t>
      </w:r>
      <w:r>
        <w:rPr>
          <w:rFonts w:ascii="Times New Roman" w:eastAsia="Times New Roman" w:hAnsi="Times New Roman" w:cs="Times New Roman"/>
          <w:sz w:val="28"/>
          <w:szCs w:val="28"/>
          <w:highlight w:val="white"/>
        </w:rPr>
        <w:t>rcise autonomy within their intellectual ability and capacity.” (</w:t>
      </w:r>
      <w:proofErr w:type="spellStart"/>
      <w:r>
        <w:rPr>
          <w:rFonts w:ascii="Times New Roman" w:eastAsia="Times New Roman" w:hAnsi="Times New Roman" w:cs="Times New Roman"/>
          <w:sz w:val="28"/>
          <w:szCs w:val="28"/>
          <w:highlight w:val="white"/>
        </w:rPr>
        <w:t>Parsapoor</w:t>
      </w:r>
      <w:proofErr w:type="spellEnd"/>
      <w:r>
        <w:rPr>
          <w:rFonts w:ascii="Times New Roman" w:eastAsia="Times New Roman" w:hAnsi="Times New Roman" w:cs="Times New Roman"/>
          <w:sz w:val="28"/>
          <w:szCs w:val="28"/>
          <w:highlight w:val="white"/>
        </w:rPr>
        <w:t>, 2014)</w:t>
      </w:r>
    </w:p>
    <w:p w14:paraId="0000004C" w14:textId="77777777" w:rsidR="0070794E" w:rsidRDefault="0009698E">
      <w:pPr>
        <w:numPr>
          <w:ilvl w:val="2"/>
          <w:numId w:val="1"/>
        </w:num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“In modern medical ethics, patient autonomy is considered a major principle in making decisions about an individual’s health, and those who receive healthcare should have the</w:t>
      </w:r>
      <w:r>
        <w:rPr>
          <w:rFonts w:ascii="Times New Roman" w:eastAsia="Times New Roman" w:hAnsi="Times New Roman" w:cs="Times New Roman"/>
          <w:sz w:val="28"/>
          <w:szCs w:val="28"/>
          <w:highlight w:val="white"/>
        </w:rPr>
        <w:t xml:space="preserve"> right to practice their autonomy consciously and freely; healthcare providers, on the other hand, are obligated to respect this right and allow patients to practice their autonomy in the course of their treatment” (</w:t>
      </w:r>
      <w:proofErr w:type="spellStart"/>
      <w:r>
        <w:rPr>
          <w:rFonts w:ascii="Times New Roman" w:eastAsia="Times New Roman" w:hAnsi="Times New Roman" w:cs="Times New Roman"/>
          <w:sz w:val="28"/>
          <w:szCs w:val="28"/>
          <w:highlight w:val="white"/>
        </w:rPr>
        <w:t>Parsapoor</w:t>
      </w:r>
      <w:proofErr w:type="spellEnd"/>
      <w:r>
        <w:rPr>
          <w:rFonts w:ascii="Times New Roman" w:eastAsia="Times New Roman" w:hAnsi="Times New Roman" w:cs="Times New Roman"/>
          <w:sz w:val="28"/>
          <w:szCs w:val="28"/>
          <w:highlight w:val="white"/>
        </w:rPr>
        <w:t>, 2014)</w:t>
      </w:r>
    </w:p>
    <w:p w14:paraId="0000004D" w14:textId="77777777" w:rsidR="0070794E" w:rsidRDefault="0009698E">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Allows for “necessary” </w:t>
      </w:r>
      <w:r>
        <w:rPr>
          <w:rFonts w:ascii="Times New Roman" w:eastAsia="Times New Roman" w:hAnsi="Times New Roman" w:cs="Times New Roman"/>
          <w:sz w:val="28"/>
          <w:szCs w:val="28"/>
        </w:rPr>
        <w:t xml:space="preserve">procedures </w:t>
      </w:r>
    </w:p>
    <w:p w14:paraId="0000004E"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qualifying factor of “necessity” is problematic in that it is not up to the state to decide what is necessary. </w:t>
      </w:r>
    </w:p>
    <w:p w14:paraId="0000004F" w14:textId="77777777" w:rsidR="0070794E" w:rsidRDefault="0009698E">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Allows for surgery on impairments</w:t>
      </w:r>
    </w:p>
    <w:p w14:paraId="00000050"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Previously argued </w:t>
      </w:r>
    </w:p>
    <w:p w14:paraId="00000051" w14:textId="77777777" w:rsidR="0070794E" w:rsidRDefault="0009698E">
      <w:pPr>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Protects children from surgical modifications that they did not consent to </w:t>
      </w:r>
    </w:p>
    <w:p w14:paraId="00000052"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Places limitations on the autonomy of minors (more </w:t>
      </w:r>
      <w:proofErr w:type="spellStart"/>
      <w:r>
        <w:rPr>
          <w:rFonts w:ascii="Times New Roman" w:eastAsia="Times New Roman" w:hAnsi="Times New Roman" w:cs="Times New Roman"/>
          <w:sz w:val="28"/>
          <w:szCs w:val="28"/>
        </w:rPr>
        <w:t>specficically</w:t>
      </w:r>
      <w:proofErr w:type="spellEnd"/>
      <w:r>
        <w:rPr>
          <w:rFonts w:ascii="Times New Roman" w:eastAsia="Times New Roman" w:hAnsi="Times New Roman" w:cs="Times New Roman"/>
          <w:sz w:val="28"/>
          <w:szCs w:val="28"/>
        </w:rPr>
        <w:t xml:space="preserve"> trans/ intersex youth) which is already threatened as is</w:t>
      </w:r>
    </w:p>
    <w:p w14:paraId="00000053" w14:textId="77777777" w:rsidR="0070794E" w:rsidRDefault="0009698E">
      <w:pPr>
        <w:numPr>
          <w:ilvl w:val="2"/>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Medical system further marginalizing these identities by creating law that insists they know what is better for them and perpetuates their social marginalization .</w:t>
      </w:r>
    </w:p>
    <w:p w14:paraId="00000054" w14:textId="77777777" w:rsidR="0070794E" w:rsidRDefault="0009698E">
      <w:pPr>
        <w:numPr>
          <w:ilvl w:val="3"/>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Use of power fields to control social behaviors/decision making</w:t>
      </w:r>
    </w:p>
    <w:p w14:paraId="00000055"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If a child (under 18) decide</w:t>
      </w:r>
      <w:r>
        <w:rPr>
          <w:rFonts w:ascii="Times New Roman" w:eastAsia="Times New Roman" w:hAnsi="Times New Roman" w:cs="Times New Roman"/>
          <w:sz w:val="28"/>
          <w:szCs w:val="28"/>
        </w:rPr>
        <w:t xml:space="preserve">s that they want a procedure, they will be unable to pursue modification before then </w:t>
      </w:r>
    </w:p>
    <w:p w14:paraId="00000056" w14:textId="77777777" w:rsidR="0070794E" w:rsidRDefault="0009698E">
      <w:pPr>
        <w:numPr>
          <w:ilvl w:val="2"/>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“The bottom line is, if we don't assure access to confidential health care, teenagers simply will stop seeking the care they </w:t>
      </w:r>
      <w:r>
        <w:rPr>
          <w:rFonts w:ascii="Times New Roman" w:eastAsia="Times New Roman" w:hAnsi="Times New Roman" w:cs="Times New Roman"/>
          <w:sz w:val="28"/>
          <w:szCs w:val="28"/>
          <w:highlight w:val="white"/>
        </w:rPr>
        <w:lastRenderedPageBreak/>
        <w:t xml:space="preserve">desire and need.”- Leslie </w:t>
      </w:r>
      <w:proofErr w:type="spellStart"/>
      <w:r>
        <w:rPr>
          <w:rFonts w:ascii="Times New Roman" w:eastAsia="Times New Roman" w:hAnsi="Times New Roman" w:cs="Times New Roman"/>
          <w:sz w:val="28"/>
          <w:szCs w:val="28"/>
          <w:highlight w:val="white"/>
        </w:rPr>
        <w:t>Tarr</w:t>
      </w:r>
      <w:proofErr w:type="spellEnd"/>
      <w:r>
        <w:rPr>
          <w:rFonts w:ascii="Times New Roman" w:eastAsia="Times New Roman" w:hAnsi="Times New Roman" w:cs="Times New Roman"/>
          <w:sz w:val="28"/>
          <w:szCs w:val="28"/>
          <w:highlight w:val="white"/>
        </w:rPr>
        <w:t xml:space="preserve"> Laurie, presid</w:t>
      </w:r>
      <w:r>
        <w:rPr>
          <w:rFonts w:ascii="Times New Roman" w:eastAsia="Times New Roman" w:hAnsi="Times New Roman" w:cs="Times New Roman"/>
          <w:sz w:val="28"/>
          <w:szCs w:val="28"/>
          <w:highlight w:val="white"/>
        </w:rPr>
        <w:t>ent and chief executive officer of Tapestry Health Systems</w:t>
      </w:r>
    </w:p>
    <w:p w14:paraId="00000057" w14:textId="77777777" w:rsidR="0070794E" w:rsidRDefault="0009698E">
      <w:pPr>
        <w:numPr>
          <w:ilvl w:val="1"/>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very transformative time of a child’s life which puts them at risk of psychological trauma from having to </w:t>
      </w:r>
      <w:r>
        <w:rPr>
          <w:rFonts w:ascii="Times New Roman" w:eastAsia="Times New Roman" w:hAnsi="Times New Roman" w:cs="Times New Roman"/>
          <w:sz w:val="28"/>
          <w:szCs w:val="28"/>
          <w:u w:val="single"/>
        </w:rPr>
        <w:t>suffer through</w:t>
      </w:r>
      <w:r>
        <w:rPr>
          <w:rFonts w:ascii="Times New Roman" w:eastAsia="Times New Roman" w:hAnsi="Times New Roman" w:cs="Times New Roman"/>
          <w:sz w:val="28"/>
          <w:szCs w:val="28"/>
        </w:rPr>
        <w:t xml:space="preserve"> body dysphoria </w:t>
      </w:r>
    </w:p>
    <w:p w14:paraId="00000058" w14:textId="77777777" w:rsidR="0070794E" w:rsidRDefault="0009698E">
      <w:pPr>
        <w:numPr>
          <w:ilvl w:val="2"/>
          <w:numId w:val="1"/>
        </w:num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Gender dysphoria is extreme discomfort caused by a discrep</w:t>
      </w:r>
      <w:r>
        <w:rPr>
          <w:rFonts w:ascii="Times New Roman" w:eastAsia="Times New Roman" w:hAnsi="Times New Roman" w:cs="Times New Roman"/>
          <w:sz w:val="28"/>
          <w:szCs w:val="28"/>
          <w:highlight w:val="white"/>
        </w:rPr>
        <w:t>ancy between a person’s gender at birth (called assigned gender) and the gender they feel themselves to be (affirmed gender). Children with gender dysphoria experienced great anguish as a result of feeling “trapped” inside a body that does not match the ge</w:t>
      </w:r>
      <w:r>
        <w:rPr>
          <w:rFonts w:ascii="Times New Roman" w:eastAsia="Times New Roman" w:hAnsi="Times New Roman" w:cs="Times New Roman"/>
          <w:sz w:val="28"/>
          <w:szCs w:val="28"/>
          <w:highlight w:val="white"/>
        </w:rPr>
        <w:t xml:space="preserve">nder that feels right to them. The severity of the suffering these children feel can lead to anxiety and depression, as well as a high risk of </w:t>
      </w:r>
      <w:hyperlink r:id="rId7">
        <w:r>
          <w:rPr>
            <w:rFonts w:ascii="Times New Roman" w:eastAsia="Times New Roman" w:hAnsi="Times New Roman" w:cs="Times New Roman"/>
            <w:sz w:val="28"/>
            <w:szCs w:val="28"/>
            <w:highlight w:val="white"/>
          </w:rPr>
          <w:t>self-injury</w:t>
        </w:r>
      </w:hyperlink>
      <w:r>
        <w:rPr>
          <w:rFonts w:ascii="Times New Roman" w:eastAsia="Times New Roman" w:hAnsi="Times New Roman" w:cs="Times New Roman"/>
          <w:sz w:val="28"/>
          <w:szCs w:val="28"/>
          <w:highlight w:val="white"/>
        </w:rPr>
        <w:t xml:space="preserve"> and sui</w:t>
      </w:r>
      <w:r>
        <w:rPr>
          <w:rFonts w:ascii="Times New Roman" w:eastAsia="Times New Roman" w:hAnsi="Times New Roman" w:cs="Times New Roman"/>
          <w:sz w:val="28"/>
          <w:szCs w:val="28"/>
          <w:highlight w:val="white"/>
        </w:rPr>
        <w:t>cide. (Child Mind Institute)</w:t>
      </w:r>
    </w:p>
    <w:p w14:paraId="00000059" w14:textId="77777777" w:rsidR="0070794E" w:rsidRDefault="0009698E">
      <w:pPr>
        <w:numPr>
          <w:ilvl w:val="2"/>
          <w:numId w:val="1"/>
        </w:num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Gender dysphoria is used to “shift the concern of mental health professionals to assisting those for whom the experience of being transgender has resulted in significant distress and impaired functioning.” (Child Mind Institute</w:t>
      </w:r>
      <w:r>
        <w:rPr>
          <w:rFonts w:ascii="Times New Roman" w:eastAsia="Times New Roman" w:hAnsi="Times New Roman" w:cs="Times New Roman"/>
          <w:sz w:val="28"/>
          <w:szCs w:val="28"/>
          <w:highlight w:val="white"/>
        </w:rPr>
        <w:t>)</w:t>
      </w:r>
    </w:p>
    <w:p w14:paraId="0000005A" w14:textId="77777777" w:rsidR="0070794E" w:rsidRDefault="0009698E">
      <w:pPr>
        <w:numPr>
          <w:ilvl w:val="0"/>
          <w:numId w:val="1"/>
        </w:num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Performing surgery on Intersex Children: </w:t>
      </w:r>
    </w:p>
    <w:p w14:paraId="0000005B" w14:textId="77777777" w:rsidR="0070794E" w:rsidRDefault="0009698E">
      <w:pPr>
        <w:numPr>
          <w:ilvl w:val="1"/>
          <w:numId w:val="1"/>
        </w:numPr>
        <w:rPr>
          <w:rFonts w:ascii="Georgia" w:eastAsia="Georgia" w:hAnsi="Georgia" w:cs="Georgia"/>
          <w:sz w:val="28"/>
          <w:szCs w:val="28"/>
          <w:highlight w:val="white"/>
        </w:rPr>
      </w:pPr>
      <w:r>
        <w:rPr>
          <w:rFonts w:ascii="Times New Roman" w:eastAsia="Times New Roman" w:hAnsi="Times New Roman" w:cs="Times New Roman"/>
          <w:sz w:val="28"/>
          <w:szCs w:val="28"/>
          <w:highlight w:val="white"/>
        </w:rPr>
        <w:t xml:space="preserve">Concession: Following diagnostic work-up, newborns with intersex should be given a </w:t>
      </w:r>
      <w:hyperlink r:id="rId8">
        <w:r>
          <w:rPr>
            <w:rFonts w:ascii="Times New Roman" w:eastAsia="Times New Roman" w:hAnsi="Times New Roman" w:cs="Times New Roman"/>
            <w:b/>
            <w:sz w:val="28"/>
            <w:szCs w:val="28"/>
            <w:highlight w:val="white"/>
          </w:rPr>
          <w:t>gender assignment</w:t>
        </w:r>
      </w:hyperlink>
      <w:r>
        <w:rPr>
          <w:rFonts w:ascii="Times New Roman" w:eastAsia="Times New Roman" w:hAnsi="Times New Roman" w:cs="Times New Roman"/>
          <w:sz w:val="28"/>
          <w:szCs w:val="28"/>
          <w:highlight w:val="white"/>
        </w:rPr>
        <w:t xml:space="preserve"> as boy or girl, depending on which of those gender</w:t>
      </w:r>
      <w:r>
        <w:rPr>
          <w:rFonts w:ascii="Times New Roman" w:eastAsia="Times New Roman" w:hAnsi="Times New Roman" w:cs="Times New Roman"/>
          <w:sz w:val="28"/>
          <w:szCs w:val="28"/>
          <w:highlight w:val="white"/>
        </w:rPr>
        <w:t xml:space="preserve">s the child is more likely to feel as she or he grows up. </w:t>
      </w:r>
      <w:r>
        <w:rPr>
          <w:rFonts w:ascii="Times New Roman" w:eastAsia="Times New Roman" w:hAnsi="Times New Roman" w:cs="Times New Roman"/>
          <w:sz w:val="28"/>
          <w:szCs w:val="28"/>
          <w:highlight w:val="white"/>
          <w:u w:val="single"/>
        </w:rPr>
        <w:t xml:space="preserve">Note that gender assignment does </w:t>
      </w:r>
      <w:r>
        <w:rPr>
          <w:rFonts w:ascii="Times New Roman" w:eastAsia="Times New Roman" w:hAnsi="Times New Roman" w:cs="Times New Roman"/>
          <w:i/>
          <w:sz w:val="28"/>
          <w:szCs w:val="28"/>
          <w:highlight w:val="white"/>
          <w:u w:val="single"/>
        </w:rPr>
        <w:t>not</w:t>
      </w:r>
      <w:r>
        <w:rPr>
          <w:rFonts w:ascii="Times New Roman" w:eastAsia="Times New Roman" w:hAnsi="Times New Roman" w:cs="Times New Roman"/>
          <w:sz w:val="28"/>
          <w:szCs w:val="28"/>
          <w:highlight w:val="white"/>
          <w:u w:val="single"/>
        </w:rPr>
        <w:t xml:space="preserve"> involve surgery; it involves assigning a label as boy or girl to a child. (Genital “normalizing” surgery does not create or cement a gender identity; it just takes tissue away that they patient may want later.)</w:t>
      </w:r>
    </w:p>
    <w:p w14:paraId="0000005C" w14:textId="77777777" w:rsidR="0070794E" w:rsidRDefault="0009698E">
      <w:pPr>
        <w:numPr>
          <w:ilvl w:val="2"/>
          <w:numId w:val="1"/>
        </w:num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Does not downplay the psychological implicat</w:t>
      </w:r>
      <w:r>
        <w:rPr>
          <w:rFonts w:ascii="Times New Roman" w:eastAsia="Times New Roman" w:hAnsi="Times New Roman" w:cs="Times New Roman"/>
          <w:sz w:val="28"/>
          <w:szCs w:val="28"/>
          <w:highlight w:val="white"/>
        </w:rPr>
        <w:t xml:space="preserve">ions and distress that may occur from ambiguous genitalia which may be rectified in the eyes of the patient through surgery before the age of 18. </w:t>
      </w:r>
    </w:p>
    <w:p w14:paraId="0000005D" w14:textId="77777777" w:rsidR="0070794E" w:rsidRDefault="0009698E">
      <w:pPr>
        <w:numPr>
          <w:ilvl w:val="1"/>
          <w:numId w:val="1"/>
        </w:num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The ISNA (Intersex society of North America) suggests that : “Surgeries done to make the genitals look “more </w:t>
      </w:r>
      <w:r>
        <w:rPr>
          <w:rFonts w:ascii="Times New Roman" w:eastAsia="Times New Roman" w:hAnsi="Times New Roman" w:cs="Times New Roman"/>
          <w:sz w:val="28"/>
          <w:szCs w:val="28"/>
          <w:highlight w:val="white"/>
        </w:rPr>
        <w:t xml:space="preserve">normal” should not be performed until </w:t>
      </w:r>
      <w:r>
        <w:rPr>
          <w:rFonts w:ascii="Times New Roman" w:eastAsia="Times New Roman" w:hAnsi="Times New Roman" w:cs="Times New Roman"/>
          <w:sz w:val="28"/>
          <w:szCs w:val="28"/>
          <w:highlight w:val="white"/>
          <w:u w:val="single"/>
        </w:rPr>
        <w:t>a child</w:t>
      </w:r>
      <w:r>
        <w:rPr>
          <w:rFonts w:ascii="Times New Roman" w:eastAsia="Times New Roman" w:hAnsi="Times New Roman" w:cs="Times New Roman"/>
          <w:sz w:val="28"/>
          <w:szCs w:val="28"/>
          <w:highlight w:val="white"/>
        </w:rPr>
        <w:t xml:space="preserve"> is mature enough to make an informed decision for herself or himself. Before the patient makes a decision, she or he should be introduced to patients who have and have not had </w:t>
      </w:r>
      <w:r>
        <w:rPr>
          <w:rFonts w:ascii="Times New Roman" w:eastAsia="Times New Roman" w:hAnsi="Times New Roman" w:cs="Times New Roman"/>
          <w:sz w:val="28"/>
          <w:szCs w:val="28"/>
          <w:highlight w:val="white"/>
        </w:rPr>
        <w:lastRenderedPageBreak/>
        <w:t>the surgery. Once she or he (thems</w:t>
      </w:r>
      <w:r>
        <w:rPr>
          <w:rFonts w:ascii="Times New Roman" w:eastAsia="Times New Roman" w:hAnsi="Times New Roman" w:cs="Times New Roman"/>
          <w:sz w:val="28"/>
          <w:szCs w:val="28"/>
          <w:highlight w:val="white"/>
        </w:rPr>
        <w:t>elves) is fully informed, she or he should be provided access to a patient-centered surgeon.”</w:t>
      </w:r>
    </w:p>
    <w:p w14:paraId="0000005E" w14:textId="77777777" w:rsidR="0070794E" w:rsidRDefault="0009698E">
      <w:pPr>
        <w:numPr>
          <w:ilvl w:val="2"/>
          <w:numId w:val="1"/>
        </w:numPr>
        <w:spacing w:after="18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This time may occur before the age of 18</w:t>
      </w:r>
    </w:p>
    <w:p w14:paraId="0000005F"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0"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1"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2"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3"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4"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5"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6"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7" w14:textId="77777777" w:rsidR="0070794E" w:rsidRDefault="0070794E">
      <w:pPr>
        <w:spacing w:before="180" w:after="180"/>
        <w:rPr>
          <w:rFonts w:ascii="Times New Roman" w:eastAsia="Times New Roman" w:hAnsi="Times New Roman" w:cs="Times New Roman"/>
          <w:sz w:val="36"/>
          <w:szCs w:val="36"/>
          <w:highlight w:val="white"/>
          <w:u w:val="single"/>
        </w:rPr>
      </w:pPr>
    </w:p>
    <w:p w14:paraId="00000068" w14:textId="77777777" w:rsidR="0070794E" w:rsidRDefault="0009698E">
      <w:pPr>
        <w:spacing w:before="180" w:after="180"/>
        <w:rPr>
          <w:rFonts w:ascii="Times New Roman" w:eastAsia="Times New Roman" w:hAnsi="Times New Roman" w:cs="Times New Roman"/>
          <w:sz w:val="36"/>
          <w:szCs w:val="36"/>
          <w:highlight w:val="white"/>
          <w:u w:val="single"/>
        </w:rPr>
      </w:pPr>
      <w:r>
        <w:rPr>
          <w:rFonts w:ascii="Times New Roman" w:eastAsia="Times New Roman" w:hAnsi="Times New Roman" w:cs="Times New Roman"/>
          <w:sz w:val="36"/>
          <w:szCs w:val="36"/>
          <w:highlight w:val="white"/>
          <w:u w:val="single"/>
        </w:rPr>
        <w:t xml:space="preserve">CLOSING: </w:t>
      </w:r>
    </w:p>
    <w:p w14:paraId="00000069" w14:textId="77777777" w:rsidR="0070794E" w:rsidRDefault="0009698E">
      <w:pPr>
        <w:spacing w:before="180" w:after="18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Ladies and Gentlemen, the main issue with this piece of legislation boils down to concerns over its am</w:t>
      </w:r>
      <w:r>
        <w:rPr>
          <w:rFonts w:ascii="Times New Roman" w:eastAsia="Times New Roman" w:hAnsi="Times New Roman" w:cs="Times New Roman"/>
          <w:sz w:val="28"/>
          <w:szCs w:val="28"/>
          <w:highlight w:val="white"/>
        </w:rPr>
        <w:t>biguity. Although we can acknowledge it’s attempt at protection of a minor’s sexual agency, it does the opposite. Above all else, our position on this bill supports choice. We are simply advocating for those who would be left in the dust with such a bill t</w:t>
      </w:r>
      <w:r>
        <w:rPr>
          <w:rFonts w:ascii="Times New Roman" w:eastAsia="Times New Roman" w:hAnsi="Times New Roman" w:cs="Times New Roman"/>
          <w:sz w:val="28"/>
          <w:szCs w:val="28"/>
          <w:highlight w:val="white"/>
        </w:rPr>
        <w:t>hat ignores those who are adversely affected in a policy meant to protect them. This blanket policy disregards the nuances of this law and the vagueness of its language puts marginalized communities at risk. This includes intersex and trans children, it in</w:t>
      </w:r>
      <w:r>
        <w:rPr>
          <w:rFonts w:ascii="Times New Roman" w:eastAsia="Times New Roman" w:hAnsi="Times New Roman" w:cs="Times New Roman"/>
          <w:sz w:val="28"/>
          <w:szCs w:val="28"/>
          <w:highlight w:val="white"/>
        </w:rPr>
        <w:t xml:space="preserve">cludes young people who will face fertility issues, and even those who wish to practice their religion through body modification measures. </w:t>
      </w:r>
    </w:p>
    <w:p w14:paraId="0000006A" w14:textId="77777777" w:rsidR="0070794E" w:rsidRDefault="0009698E">
      <w:pPr>
        <w:spacing w:before="180" w:after="18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The fact of the matter is, this policy is too vague to be enacted into legislation. It’s ambiguity puts too many peo</w:t>
      </w:r>
      <w:r>
        <w:rPr>
          <w:rFonts w:ascii="Times New Roman" w:eastAsia="Times New Roman" w:hAnsi="Times New Roman" w:cs="Times New Roman"/>
          <w:sz w:val="28"/>
          <w:szCs w:val="28"/>
          <w:highlight w:val="white"/>
        </w:rPr>
        <w:t xml:space="preserve">ple at risk to be effective and harms various populations more than it helps minors and intersex children. We hold in our hands </w:t>
      </w:r>
      <w:r>
        <w:rPr>
          <w:rFonts w:ascii="Times New Roman" w:eastAsia="Times New Roman" w:hAnsi="Times New Roman" w:cs="Times New Roman"/>
          <w:sz w:val="28"/>
          <w:szCs w:val="28"/>
          <w:highlight w:val="white"/>
        </w:rPr>
        <w:lastRenderedPageBreak/>
        <w:t>the responsibility of imposing Medical Ideologies which will be used as a kind of medical authority. This bill gives medical aut</w:t>
      </w:r>
      <w:r>
        <w:rPr>
          <w:rFonts w:ascii="Times New Roman" w:eastAsia="Times New Roman" w:hAnsi="Times New Roman" w:cs="Times New Roman"/>
          <w:sz w:val="28"/>
          <w:szCs w:val="28"/>
          <w:highlight w:val="white"/>
        </w:rPr>
        <w:t xml:space="preserve">hority </w:t>
      </w:r>
      <w:r>
        <w:rPr>
          <w:rFonts w:ascii="Times New Roman" w:eastAsia="Times New Roman" w:hAnsi="Times New Roman" w:cs="Times New Roman"/>
          <w:i/>
          <w:sz w:val="28"/>
          <w:szCs w:val="28"/>
          <w:highlight w:val="white"/>
        </w:rPr>
        <w:t>to</w:t>
      </w:r>
      <w:r>
        <w:rPr>
          <w:rFonts w:ascii="Times New Roman" w:eastAsia="Times New Roman" w:hAnsi="Times New Roman" w:cs="Times New Roman"/>
          <w:sz w:val="28"/>
          <w:szCs w:val="28"/>
          <w:highlight w:val="white"/>
        </w:rPr>
        <w:t xml:space="preserve"> legislators and away from the families who should be making these well-informed and collaborative decisions. </w:t>
      </w:r>
    </w:p>
    <w:p w14:paraId="0000006B" w14:textId="77777777" w:rsidR="0070794E" w:rsidRDefault="0009698E">
      <w:pPr>
        <w:spacing w:before="180" w:after="180"/>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Firstly, we would like to emphasize the fact that this bill denies trans and intersex youth (the demographic it is meant to protect) the opportunity to have the options and the access to cosmetic modifications should they choose to pursue these interventio</w:t>
      </w:r>
      <w:r>
        <w:rPr>
          <w:rFonts w:ascii="Times New Roman" w:eastAsia="Times New Roman" w:hAnsi="Times New Roman" w:cs="Times New Roman"/>
          <w:sz w:val="28"/>
          <w:szCs w:val="28"/>
          <w:highlight w:val="white"/>
        </w:rPr>
        <w:t>ns. As stated in the 14th Amendment, section 1: “No state shall make or enforce any law which shall abridge the privileges or immunities of citizens of the United States; nor shall any state deprive any person of life, liberty, or property.” We are arguing</w:t>
      </w:r>
      <w:r>
        <w:rPr>
          <w:rFonts w:ascii="Times New Roman" w:eastAsia="Times New Roman" w:hAnsi="Times New Roman" w:cs="Times New Roman"/>
          <w:sz w:val="28"/>
          <w:szCs w:val="28"/>
          <w:highlight w:val="white"/>
        </w:rPr>
        <w:t xml:space="preserve"> for the protection of rights of  people who have historically been marginalized and shut out from having medical autonomy for years due to legislation, like this one, which </w:t>
      </w:r>
      <w:proofErr w:type="spellStart"/>
      <w:r>
        <w:rPr>
          <w:rFonts w:ascii="Times New Roman" w:eastAsia="Times New Roman" w:hAnsi="Times New Roman" w:cs="Times New Roman"/>
          <w:sz w:val="28"/>
          <w:szCs w:val="28"/>
          <w:highlight w:val="white"/>
        </w:rPr>
        <w:t>gatekeeps</w:t>
      </w:r>
      <w:proofErr w:type="spellEnd"/>
      <w:r>
        <w:rPr>
          <w:rFonts w:ascii="Times New Roman" w:eastAsia="Times New Roman" w:hAnsi="Times New Roman" w:cs="Times New Roman"/>
          <w:sz w:val="28"/>
          <w:szCs w:val="28"/>
          <w:highlight w:val="white"/>
        </w:rPr>
        <w:t xml:space="preserve"> their opportunity to relieve themselves of the possible distress from se</w:t>
      </w:r>
      <w:r>
        <w:rPr>
          <w:rFonts w:ascii="Times New Roman" w:eastAsia="Times New Roman" w:hAnsi="Times New Roman" w:cs="Times New Roman"/>
          <w:sz w:val="28"/>
          <w:szCs w:val="28"/>
          <w:highlight w:val="white"/>
        </w:rPr>
        <w:t>xual ambiguity or intersex conditions. This law deprives parents, children, and healthcare professionals the opportunity to collaborate on medical decisions as to not only improve patient outcomes but to make medical decisions that are ethical and most ben</w:t>
      </w:r>
      <w:r>
        <w:rPr>
          <w:rFonts w:ascii="Times New Roman" w:eastAsia="Times New Roman" w:hAnsi="Times New Roman" w:cs="Times New Roman"/>
          <w:sz w:val="28"/>
          <w:szCs w:val="28"/>
          <w:highlight w:val="white"/>
        </w:rPr>
        <w:t>eficial to the child involved. This law prohibits parents and children from collaborating on individualized medical interventions by completely outlawing an intervention that may be best suitable to those affected by the anxiety or distress stemming from b</w:t>
      </w:r>
      <w:r>
        <w:rPr>
          <w:rFonts w:ascii="Times New Roman" w:eastAsia="Times New Roman" w:hAnsi="Times New Roman" w:cs="Times New Roman"/>
          <w:sz w:val="28"/>
          <w:szCs w:val="28"/>
          <w:highlight w:val="white"/>
        </w:rPr>
        <w:t xml:space="preserve">ody dysphoria. </w:t>
      </w:r>
    </w:p>
    <w:p w14:paraId="0000006C" w14:textId="77777777" w:rsidR="0070794E" w:rsidRDefault="0009698E">
      <w:pPr>
        <w:spacing w:before="180" w:after="18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By passing this Bill, we are insinuating that it is okay for marginalized communities to suffer. </w:t>
      </w:r>
      <w:r>
        <w:rPr>
          <w:rFonts w:ascii="Times New Roman" w:eastAsia="Times New Roman" w:hAnsi="Times New Roman" w:cs="Times New Roman"/>
          <w:sz w:val="28"/>
          <w:szCs w:val="28"/>
          <w:highlight w:val="white"/>
        </w:rPr>
        <w:t xml:space="preserve">This bill and </w:t>
      </w:r>
      <w:proofErr w:type="spellStart"/>
      <w:r>
        <w:rPr>
          <w:rFonts w:ascii="Times New Roman" w:eastAsia="Times New Roman" w:hAnsi="Times New Roman" w:cs="Times New Roman"/>
          <w:sz w:val="28"/>
          <w:szCs w:val="28"/>
          <w:highlight w:val="white"/>
        </w:rPr>
        <w:t>it’s</w:t>
      </w:r>
      <w:proofErr w:type="spellEnd"/>
      <w:r>
        <w:rPr>
          <w:rFonts w:ascii="Times New Roman" w:eastAsia="Times New Roman" w:hAnsi="Times New Roman" w:cs="Times New Roman"/>
          <w:sz w:val="28"/>
          <w:szCs w:val="28"/>
          <w:highlight w:val="white"/>
        </w:rPr>
        <w:t xml:space="preserve"> current language promotes the potential for patient suffering by forcing this suffering to continue way beyond what may be b</w:t>
      </w:r>
      <w:r>
        <w:rPr>
          <w:rFonts w:ascii="Times New Roman" w:eastAsia="Times New Roman" w:hAnsi="Times New Roman" w:cs="Times New Roman"/>
          <w:sz w:val="28"/>
          <w:szCs w:val="28"/>
          <w:highlight w:val="white"/>
        </w:rPr>
        <w:t xml:space="preserve">est for the young person affected. </w:t>
      </w:r>
      <w:r>
        <w:rPr>
          <w:rFonts w:ascii="Times New Roman" w:eastAsia="Times New Roman" w:hAnsi="Times New Roman" w:cs="Times New Roman"/>
          <w:sz w:val="28"/>
          <w:szCs w:val="28"/>
        </w:rPr>
        <w:t>We are depriving people of the right to have autonomy over their bodies for 18 years and are contributing to their limited access to the healthcare system. We are invalidating their experiences and dismissing their suffer</w:t>
      </w:r>
      <w:r>
        <w:rPr>
          <w:rFonts w:ascii="Times New Roman" w:eastAsia="Times New Roman" w:hAnsi="Times New Roman" w:cs="Times New Roman"/>
          <w:sz w:val="28"/>
          <w:szCs w:val="28"/>
        </w:rPr>
        <w:t xml:space="preserve">ing because we feel that they are too young to know any better. These are the messages you are communicating to young people who are not comfortable with the states of their bodies and genitalia, to the young people whose need for medical interventions to </w:t>
      </w:r>
      <w:r>
        <w:rPr>
          <w:rFonts w:ascii="Times New Roman" w:eastAsia="Times New Roman" w:hAnsi="Times New Roman" w:cs="Times New Roman"/>
          <w:sz w:val="28"/>
          <w:szCs w:val="28"/>
        </w:rPr>
        <w:t>protect their fertility is at risk, and to any other person whose body and whose well-being is at risk of being caught in the “gray areas” of this bill that will deter them from the proper medical care that is best suitable for them.</w:t>
      </w:r>
    </w:p>
    <w:p w14:paraId="0000006D" w14:textId="77777777" w:rsidR="0070794E" w:rsidRDefault="0009698E">
      <w:pPr>
        <w:spacing w:before="240" w:after="24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lastRenderedPageBreak/>
        <w:t xml:space="preserve">In replacement of the </w:t>
      </w:r>
      <w:r>
        <w:rPr>
          <w:rFonts w:ascii="Times New Roman" w:eastAsia="Times New Roman" w:hAnsi="Times New Roman" w:cs="Times New Roman"/>
          <w:sz w:val="28"/>
          <w:szCs w:val="28"/>
        </w:rPr>
        <w:t>current legislation, which limits the freedoms of the individual and their right to choose, we would like to propose alterations to this law that enforces a collaborative approach to medical matters involving decisions to be made in childhood and adolescen</w:t>
      </w:r>
      <w:r>
        <w:rPr>
          <w:rFonts w:ascii="Times New Roman" w:eastAsia="Times New Roman" w:hAnsi="Times New Roman" w:cs="Times New Roman"/>
          <w:sz w:val="28"/>
          <w:szCs w:val="28"/>
        </w:rPr>
        <w:t xml:space="preserve">ce as well as for it to take into account the nuances which are unaddressed in its current language. </w:t>
      </w:r>
    </w:p>
    <w:p w14:paraId="0000006E" w14:textId="77777777" w:rsidR="0070794E" w:rsidRDefault="0070794E">
      <w:pPr>
        <w:spacing w:before="180" w:after="180"/>
        <w:rPr>
          <w:rFonts w:ascii="Times New Roman" w:eastAsia="Times New Roman" w:hAnsi="Times New Roman" w:cs="Times New Roman"/>
          <w:sz w:val="28"/>
          <w:szCs w:val="28"/>
          <w:highlight w:val="white"/>
        </w:rPr>
      </w:pPr>
    </w:p>
    <w:p w14:paraId="0000006F" w14:textId="77777777" w:rsidR="0070794E" w:rsidRDefault="0070794E">
      <w:pPr>
        <w:spacing w:before="180" w:after="180"/>
        <w:rPr>
          <w:rFonts w:ascii="Times New Roman" w:eastAsia="Times New Roman" w:hAnsi="Times New Roman" w:cs="Times New Roman"/>
          <w:sz w:val="24"/>
          <w:szCs w:val="24"/>
          <w:highlight w:val="white"/>
        </w:rPr>
      </w:pPr>
    </w:p>
    <w:p w14:paraId="00000070" w14:textId="77777777" w:rsidR="0070794E" w:rsidRDefault="0070794E">
      <w:pPr>
        <w:spacing w:before="180" w:after="180"/>
        <w:rPr>
          <w:rFonts w:ascii="Times New Roman" w:eastAsia="Times New Roman" w:hAnsi="Times New Roman" w:cs="Times New Roman"/>
          <w:sz w:val="24"/>
          <w:szCs w:val="24"/>
          <w:highlight w:val="white"/>
        </w:rPr>
      </w:pPr>
    </w:p>
    <w:p w14:paraId="00000071" w14:textId="77777777" w:rsidR="0070794E" w:rsidRDefault="0070794E">
      <w:pPr>
        <w:spacing w:before="180" w:after="180"/>
        <w:rPr>
          <w:rFonts w:ascii="Times New Roman" w:eastAsia="Times New Roman" w:hAnsi="Times New Roman" w:cs="Times New Roman"/>
          <w:sz w:val="24"/>
          <w:szCs w:val="24"/>
          <w:highlight w:val="white"/>
        </w:rPr>
      </w:pPr>
    </w:p>
    <w:p w14:paraId="00000072" w14:textId="77777777" w:rsidR="0070794E" w:rsidRDefault="0070794E">
      <w:pPr>
        <w:spacing w:before="180" w:after="180"/>
        <w:rPr>
          <w:rFonts w:ascii="Times New Roman" w:eastAsia="Times New Roman" w:hAnsi="Times New Roman" w:cs="Times New Roman"/>
          <w:sz w:val="24"/>
          <w:szCs w:val="24"/>
          <w:highlight w:val="white"/>
        </w:rPr>
      </w:pPr>
    </w:p>
    <w:p w14:paraId="00000073" w14:textId="77777777" w:rsidR="0070794E" w:rsidRDefault="0070794E">
      <w:pPr>
        <w:spacing w:before="180" w:after="180"/>
        <w:rPr>
          <w:rFonts w:ascii="Times New Roman" w:eastAsia="Times New Roman" w:hAnsi="Times New Roman" w:cs="Times New Roman"/>
          <w:sz w:val="24"/>
          <w:szCs w:val="24"/>
          <w:highlight w:val="white"/>
        </w:rPr>
      </w:pPr>
    </w:p>
    <w:p w14:paraId="00000074" w14:textId="77777777" w:rsidR="0070794E" w:rsidRDefault="0070794E">
      <w:pPr>
        <w:spacing w:before="180" w:after="180"/>
        <w:rPr>
          <w:rFonts w:ascii="Times New Roman" w:eastAsia="Times New Roman" w:hAnsi="Times New Roman" w:cs="Times New Roman"/>
          <w:sz w:val="24"/>
          <w:szCs w:val="24"/>
          <w:highlight w:val="white"/>
        </w:rPr>
      </w:pPr>
    </w:p>
    <w:p w14:paraId="00000075" w14:textId="77777777" w:rsidR="0070794E" w:rsidRDefault="0070794E">
      <w:pPr>
        <w:shd w:val="clear" w:color="auto" w:fill="FFFFFF"/>
        <w:spacing w:before="100" w:after="300" w:line="240" w:lineRule="auto"/>
        <w:rPr>
          <w:rFonts w:ascii="Times New Roman" w:eastAsia="Times New Roman" w:hAnsi="Times New Roman" w:cs="Times New Roman"/>
          <w:sz w:val="24"/>
          <w:szCs w:val="24"/>
          <w:highlight w:val="white"/>
        </w:rPr>
      </w:pPr>
    </w:p>
    <w:p w14:paraId="00000076" w14:textId="77777777" w:rsidR="0070794E" w:rsidRDefault="0009698E">
      <w:pPr>
        <w:shd w:val="clear" w:color="auto" w:fill="FFFFFF"/>
        <w:spacing w:before="100" w:after="300" w:line="240" w:lineRule="auto"/>
        <w:rPr>
          <w:rFonts w:ascii="Times New Roman" w:eastAsia="Times New Roman" w:hAnsi="Times New Roman" w:cs="Times New Roman"/>
          <w:sz w:val="36"/>
          <w:szCs w:val="36"/>
          <w:highlight w:val="white"/>
          <w:u w:val="single"/>
        </w:rPr>
      </w:pPr>
      <w:r>
        <w:rPr>
          <w:rFonts w:ascii="Times New Roman" w:eastAsia="Times New Roman" w:hAnsi="Times New Roman" w:cs="Times New Roman"/>
          <w:sz w:val="36"/>
          <w:szCs w:val="36"/>
          <w:highlight w:val="white"/>
          <w:u w:val="single"/>
        </w:rPr>
        <w:t>SOURCES:</w:t>
      </w:r>
    </w:p>
    <w:p w14:paraId="00000077" w14:textId="77777777" w:rsidR="0070794E" w:rsidRDefault="0009698E">
      <w:pPr>
        <w:numPr>
          <w:ilvl w:val="0"/>
          <w:numId w:val="2"/>
        </w:numPr>
        <w:shd w:val="clear" w:color="auto" w:fill="FFFFFF"/>
        <w:spacing w:before="10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14th Amendment. (</w:t>
      </w:r>
      <w:proofErr w:type="spellStart"/>
      <w:r>
        <w:rPr>
          <w:rFonts w:ascii="Times New Roman" w:eastAsia="Times New Roman" w:hAnsi="Times New Roman" w:cs="Times New Roman"/>
          <w:sz w:val="24"/>
          <w:szCs w:val="24"/>
          <w:highlight w:val="white"/>
        </w:rPr>
        <w:t>n.d.</w:t>
      </w:r>
      <w:proofErr w:type="spellEnd"/>
      <w:r>
        <w:rPr>
          <w:rFonts w:ascii="Times New Roman" w:eastAsia="Times New Roman" w:hAnsi="Times New Roman" w:cs="Times New Roman"/>
          <w:sz w:val="24"/>
          <w:szCs w:val="24"/>
          <w:highlight w:val="white"/>
        </w:rPr>
        <w:t>). Retrieved from https://www.law.cornell.edu/constitution/amendmentxiv.</w:t>
      </w:r>
    </w:p>
    <w:p w14:paraId="00000078"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Answers to Your Questions About Individuals With Intersex Conditions. (</w:t>
      </w:r>
      <w:proofErr w:type="spellStart"/>
      <w:r>
        <w:rPr>
          <w:rFonts w:ascii="Times New Roman" w:eastAsia="Times New Roman" w:hAnsi="Times New Roman" w:cs="Times New Roman"/>
          <w:sz w:val="24"/>
          <w:szCs w:val="24"/>
          <w:highlight w:val="white"/>
        </w:rPr>
        <w:t>n.d.</w:t>
      </w:r>
      <w:proofErr w:type="spellEnd"/>
      <w:r>
        <w:rPr>
          <w:rFonts w:ascii="Times New Roman" w:eastAsia="Times New Roman" w:hAnsi="Times New Roman" w:cs="Times New Roman"/>
          <w:sz w:val="24"/>
          <w:szCs w:val="24"/>
          <w:highlight w:val="white"/>
        </w:rPr>
        <w:t>). Retrieved from https://www.apa.org/topics/lgbt/intersex.</w:t>
      </w:r>
    </w:p>
    <w:p w14:paraId="00000079"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Biegel</w:t>
      </w:r>
      <w:proofErr w:type="spellEnd"/>
      <w:r>
        <w:rPr>
          <w:rFonts w:ascii="Times New Roman" w:eastAsia="Times New Roman" w:hAnsi="Times New Roman" w:cs="Times New Roman"/>
          <w:sz w:val="24"/>
          <w:szCs w:val="24"/>
          <w:highlight w:val="white"/>
        </w:rPr>
        <w:t xml:space="preserve">, S. (2018). </w:t>
      </w:r>
      <w:r>
        <w:rPr>
          <w:rFonts w:ascii="Times New Roman" w:eastAsia="Times New Roman" w:hAnsi="Times New Roman" w:cs="Times New Roman"/>
          <w:i/>
          <w:sz w:val="24"/>
          <w:szCs w:val="24"/>
          <w:highlight w:val="white"/>
        </w:rPr>
        <w:t>The right to be out: sexual orientation and gender identity in Americas public schools</w:t>
      </w:r>
      <w:r>
        <w:rPr>
          <w:rFonts w:ascii="Times New Roman" w:eastAsia="Times New Roman" w:hAnsi="Times New Roman" w:cs="Times New Roman"/>
          <w:sz w:val="24"/>
          <w:szCs w:val="24"/>
          <w:highlight w:val="white"/>
        </w:rPr>
        <w:t>. Minneapolis: U</w:t>
      </w:r>
      <w:r>
        <w:rPr>
          <w:rFonts w:ascii="Times New Roman" w:eastAsia="Times New Roman" w:hAnsi="Times New Roman" w:cs="Times New Roman"/>
          <w:sz w:val="24"/>
          <w:szCs w:val="24"/>
          <w:highlight w:val="white"/>
        </w:rPr>
        <w:t>niversity of Minnesota Press.</w:t>
      </w:r>
    </w:p>
    <w:p w14:paraId="0000007A"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Birkett, D. (2013, November 30). Making Babies: Is there a right to have children? by Mary Warnock. Retrieved from https://www.independent.co.uk/arts-entertainment/books/reviews/making-babies-is-there-a-right-to-have-children-</w:t>
      </w:r>
      <w:r>
        <w:rPr>
          <w:rFonts w:ascii="Times New Roman" w:eastAsia="Times New Roman" w:hAnsi="Times New Roman" w:cs="Times New Roman"/>
          <w:sz w:val="24"/>
          <w:szCs w:val="24"/>
          <w:highlight w:val="white"/>
        </w:rPr>
        <w:t>by-mary-warnock-174948.html.</w:t>
      </w:r>
    </w:p>
    <w:p w14:paraId="0000007B"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Chadwick. (2019). Defining Impairment and Disability. Retrieved October 8, 2019, from https://disability-studies.leeds.ac.uk/wp-content/uploads/sites/40/library/Northern-Officers-Group-defining-impairment-and-disability.pdf.</w:t>
      </w:r>
    </w:p>
    <w:p w14:paraId="0000007C"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Co</w:t>
      </w:r>
      <w:r>
        <w:rPr>
          <w:rFonts w:ascii="Times New Roman" w:eastAsia="Times New Roman" w:hAnsi="Times New Roman" w:cs="Times New Roman"/>
          <w:sz w:val="24"/>
          <w:szCs w:val="24"/>
          <w:highlight w:val="white"/>
        </w:rPr>
        <w:t>upet</w:t>
      </w:r>
      <w:proofErr w:type="spellEnd"/>
      <w:r>
        <w:rPr>
          <w:rFonts w:ascii="Times New Roman" w:eastAsia="Times New Roman" w:hAnsi="Times New Roman" w:cs="Times New Roman"/>
          <w:sz w:val="24"/>
          <w:szCs w:val="24"/>
          <w:highlight w:val="white"/>
        </w:rPr>
        <w:t xml:space="preserve">, S. M., &amp; </w:t>
      </w:r>
      <w:proofErr w:type="spellStart"/>
      <w:r>
        <w:rPr>
          <w:rFonts w:ascii="Times New Roman" w:eastAsia="Times New Roman" w:hAnsi="Times New Roman" w:cs="Times New Roman"/>
          <w:sz w:val="24"/>
          <w:szCs w:val="24"/>
          <w:highlight w:val="white"/>
        </w:rPr>
        <w:t>Marrus</w:t>
      </w:r>
      <w:proofErr w:type="spellEnd"/>
      <w:r>
        <w:rPr>
          <w:rFonts w:ascii="Times New Roman" w:eastAsia="Times New Roman" w:hAnsi="Times New Roman" w:cs="Times New Roman"/>
          <w:sz w:val="24"/>
          <w:szCs w:val="24"/>
          <w:highlight w:val="white"/>
        </w:rPr>
        <w:t xml:space="preserve">, E. (2016). </w:t>
      </w:r>
      <w:r>
        <w:rPr>
          <w:rFonts w:ascii="Times New Roman" w:eastAsia="Times New Roman" w:hAnsi="Times New Roman" w:cs="Times New Roman"/>
          <w:i/>
          <w:sz w:val="24"/>
          <w:szCs w:val="24"/>
          <w:highlight w:val="white"/>
        </w:rPr>
        <w:t>Children, sexuality, and the law</w:t>
      </w:r>
      <w:r>
        <w:rPr>
          <w:rFonts w:ascii="Times New Roman" w:eastAsia="Times New Roman" w:hAnsi="Times New Roman" w:cs="Times New Roman"/>
          <w:sz w:val="24"/>
          <w:szCs w:val="24"/>
          <w:highlight w:val="white"/>
        </w:rPr>
        <w:t>. New York: New York University Press.</w:t>
      </w:r>
    </w:p>
    <w:p w14:paraId="0000007D"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Differences in Sex Development. (</w:t>
      </w:r>
      <w:proofErr w:type="spellStart"/>
      <w:r>
        <w:rPr>
          <w:rFonts w:ascii="Times New Roman" w:eastAsia="Times New Roman" w:hAnsi="Times New Roman" w:cs="Times New Roman"/>
          <w:sz w:val="24"/>
          <w:szCs w:val="24"/>
          <w:highlight w:val="white"/>
        </w:rPr>
        <w:t>n.d.</w:t>
      </w:r>
      <w:proofErr w:type="spellEnd"/>
      <w:r>
        <w:rPr>
          <w:rFonts w:ascii="Times New Roman" w:eastAsia="Times New Roman" w:hAnsi="Times New Roman" w:cs="Times New Roman"/>
          <w:sz w:val="24"/>
          <w:szCs w:val="24"/>
          <w:highlight w:val="white"/>
        </w:rPr>
        <w:t>). Retrieved from https://childrensnational.org/visit/conditions-and-treatments/diabetes-hormonal-disorders/differ</w:t>
      </w:r>
      <w:r>
        <w:rPr>
          <w:rFonts w:ascii="Times New Roman" w:eastAsia="Times New Roman" w:hAnsi="Times New Roman" w:cs="Times New Roman"/>
          <w:sz w:val="24"/>
          <w:szCs w:val="24"/>
          <w:highlight w:val="white"/>
        </w:rPr>
        <w:t>ences-in-sex-development.</w:t>
      </w:r>
    </w:p>
    <w:p w14:paraId="0000007E"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lastRenderedPageBreak/>
        <w:t>Drobac</w:t>
      </w:r>
      <w:proofErr w:type="spellEnd"/>
      <w:r>
        <w:rPr>
          <w:rFonts w:ascii="Times New Roman" w:eastAsia="Times New Roman" w:hAnsi="Times New Roman" w:cs="Times New Roman"/>
          <w:sz w:val="24"/>
          <w:szCs w:val="24"/>
          <w:highlight w:val="white"/>
        </w:rPr>
        <w:t>, J. A. (2017, November 20). Age-of-consent laws don't reflect teenage psychology. Here's how to fix them. Retrieved from https://www.vox.com/the-big-idea/2017/11/20/16677180/age-consent-teenage-psychology-law-roy-moore.</w:t>
      </w:r>
    </w:p>
    <w:p w14:paraId="0000007F"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Gen</w:t>
      </w:r>
      <w:r>
        <w:rPr>
          <w:rFonts w:ascii="Times New Roman" w:eastAsia="Times New Roman" w:hAnsi="Times New Roman" w:cs="Times New Roman"/>
          <w:sz w:val="24"/>
          <w:szCs w:val="24"/>
          <w:highlight w:val="white"/>
        </w:rPr>
        <w:t>der Dysphoria Basics. (</w:t>
      </w:r>
      <w:proofErr w:type="spellStart"/>
      <w:r>
        <w:rPr>
          <w:rFonts w:ascii="Times New Roman" w:eastAsia="Times New Roman" w:hAnsi="Times New Roman" w:cs="Times New Roman"/>
          <w:sz w:val="24"/>
          <w:szCs w:val="24"/>
          <w:highlight w:val="white"/>
        </w:rPr>
        <w:t>n.d.</w:t>
      </w:r>
      <w:proofErr w:type="spellEnd"/>
      <w:r>
        <w:rPr>
          <w:rFonts w:ascii="Times New Roman" w:eastAsia="Times New Roman" w:hAnsi="Times New Roman" w:cs="Times New Roman"/>
          <w:sz w:val="24"/>
          <w:szCs w:val="24"/>
          <w:highlight w:val="white"/>
        </w:rPr>
        <w:t>). Retrieved from https://childmind.org/guide/guide-to-gender-dysphoria/.</w:t>
      </w:r>
    </w:p>
    <w:p w14:paraId="00000080"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Greenfield, ​C. (2014, July 8). Should We 'Fix' Intersex Children? Retrieved from https://www.theatlantic.com/health/archive/2014/07/should-we-fix-intersex</w:t>
      </w:r>
      <w:r>
        <w:rPr>
          <w:rFonts w:ascii="Times New Roman" w:eastAsia="Times New Roman" w:hAnsi="Times New Roman" w:cs="Times New Roman"/>
          <w:sz w:val="24"/>
          <w:szCs w:val="24"/>
          <w:highlight w:val="white"/>
        </w:rPr>
        <w:t>-children/373536/.</w:t>
      </w:r>
    </w:p>
    <w:p w14:paraId="00000081"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Kleeman</w:t>
      </w:r>
      <w:proofErr w:type="spellEnd"/>
      <w:r>
        <w:rPr>
          <w:rFonts w:ascii="Times New Roman" w:eastAsia="Times New Roman" w:hAnsi="Times New Roman" w:cs="Times New Roman"/>
          <w:sz w:val="24"/>
          <w:szCs w:val="24"/>
          <w:highlight w:val="white"/>
        </w:rPr>
        <w:t>, J. (2016, July 2). 'We don't know if your baby's a boy or a girl': growing up intersex. Retrieved from https://www.theguardian.com/world/2016/jul/02/male-and-female-what-is-it-like-to-be-intersex.</w:t>
      </w:r>
    </w:p>
    <w:p w14:paraId="00000082"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Korte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Lehmkuhl</w:t>
      </w:r>
      <w:proofErr w:type="spellEnd"/>
      <w:r>
        <w:rPr>
          <w:rFonts w:ascii="Times New Roman" w:eastAsia="Times New Roman" w:hAnsi="Times New Roman" w:cs="Times New Roman"/>
          <w:sz w:val="24"/>
          <w:szCs w:val="24"/>
          <w:highlight w:val="white"/>
        </w:rPr>
        <w:t xml:space="preserve">, U., </w:t>
      </w:r>
      <w:proofErr w:type="spellStart"/>
      <w:r>
        <w:rPr>
          <w:rFonts w:ascii="Times New Roman" w:eastAsia="Times New Roman" w:hAnsi="Times New Roman" w:cs="Times New Roman"/>
          <w:sz w:val="24"/>
          <w:szCs w:val="24"/>
          <w:highlight w:val="white"/>
        </w:rPr>
        <w:t>Goecker</w:t>
      </w:r>
      <w:proofErr w:type="spellEnd"/>
      <w:r>
        <w:rPr>
          <w:rFonts w:ascii="Times New Roman" w:eastAsia="Times New Roman" w:hAnsi="Times New Roman" w:cs="Times New Roman"/>
          <w:sz w:val="24"/>
          <w:szCs w:val="24"/>
          <w:highlight w:val="white"/>
        </w:rPr>
        <w:t xml:space="preserve">, D., </w:t>
      </w:r>
      <w:proofErr w:type="spellStart"/>
      <w:r>
        <w:rPr>
          <w:rFonts w:ascii="Times New Roman" w:eastAsia="Times New Roman" w:hAnsi="Times New Roman" w:cs="Times New Roman"/>
          <w:sz w:val="24"/>
          <w:szCs w:val="24"/>
          <w:highlight w:val="white"/>
        </w:rPr>
        <w:t>Beier</w:t>
      </w:r>
      <w:proofErr w:type="spellEnd"/>
      <w:r>
        <w:rPr>
          <w:rFonts w:ascii="Times New Roman" w:eastAsia="Times New Roman" w:hAnsi="Times New Roman" w:cs="Times New Roman"/>
          <w:sz w:val="24"/>
          <w:szCs w:val="24"/>
          <w:highlight w:val="white"/>
        </w:rPr>
        <w:t xml:space="preserve">, K. M., </w:t>
      </w:r>
      <w:proofErr w:type="spellStart"/>
      <w:r>
        <w:rPr>
          <w:rFonts w:ascii="Times New Roman" w:eastAsia="Times New Roman" w:hAnsi="Times New Roman" w:cs="Times New Roman"/>
          <w:sz w:val="24"/>
          <w:szCs w:val="24"/>
          <w:highlight w:val="white"/>
        </w:rPr>
        <w:t>Krude</w:t>
      </w:r>
      <w:proofErr w:type="spellEnd"/>
      <w:r>
        <w:rPr>
          <w:rFonts w:ascii="Times New Roman" w:eastAsia="Times New Roman" w:hAnsi="Times New Roman" w:cs="Times New Roman"/>
          <w:sz w:val="24"/>
          <w:szCs w:val="24"/>
          <w:highlight w:val="white"/>
        </w:rPr>
        <w:t xml:space="preserve">, H., &amp; </w:t>
      </w:r>
      <w:proofErr w:type="spellStart"/>
      <w:r>
        <w:rPr>
          <w:rFonts w:ascii="Times New Roman" w:eastAsia="Times New Roman" w:hAnsi="Times New Roman" w:cs="Times New Roman"/>
          <w:sz w:val="24"/>
          <w:szCs w:val="24"/>
          <w:highlight w:val="white"/>
        </w:rPr>
        <w:t>Grüters-Kieslich</w:t>
      </w:r>
      <w:proofErr w:type="spellEnd"/>
      <w:r>
        <w:rPr>
          <w:rFonts w:ascii="Times New Roman" w:eastAsia="Times New Roman" w:hAnsi="Times New Roman" w:cs="Times New Roman"/>
          <w:sz w:val="24"/>
          <w:szCs w:val="24"/>
          <w:highlight w:val="white"/>
        </w:rPr>
        <w:t>, A. (2008, November). Gender identity disorders in childhood and adolescence: currently debated concepts and treatment strategies. Retrieved from https://www.ncbi.nlm.nih.gov</w:t>
      </w:r>
      <w:r>
        <w:rPr>
          <w:rFonts w:ascii="Times New Roman" w:eastAsia="Times New Roman" w:hAnsi="Times New Roman" w:cs="Times New Roman"/>
          <w:sz w:val="24"/>
          <w:szCs w:val="24"/>
          <w:highlight w:val="white"/>
        </w:rPr>
        <w:t>/pmc/articles/PMC2697020/.</w:t>
      </w:r>
    </w:p>
    <w:p w14:paraId="00000083"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Parsapoor</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Parsapoor</w:t>
      </w:r>
      <w:proofErr w:type="spellEnd"/>
      <w:r>
        <w:rPr>
          <w:rFonts w:ascii="Times New Roman" w:eastAsia="Times New Roman" w:hAnsi="Times New Roman" w:cs="Times New Roman"/>
          <w:sz w:val="24"/>
          <w:szCs w:val="24"/>
          <w:highlight w:val="white"/>
        </w:rPr>
        <w:t xml:space="preserve">, M.-B., </w:t>
      </w:r>
      <w:proofErr w:type="spellStart"/>
      <w:r>
        <w:rPr>
          <w:rFonts w:ascii="Times New Roman" w:eastAsia="Times New Roman" w:hAnsi="Times New Roman" w:cs="Times New Roman"/>
          <w:sz w:val="24"/>
          <w:szCs w:val="24"/>
          <w:highlight w:val="white"/>
        </w:rPr>
        <w:t>Rezaei</w:t>
      </w:r>
      <w:proofErr w:type="spellEnd"/>
      <w:r>
        <w:rPr>
          <w:rFonts w:ascii="Times New Roman" w:eastAsia="Times New Roman" w:hAnsi="Times New Roman" w:cs="Times New Roman"/>
          <w:sz w:val="24"/>
          <w:szCs w:val="24"/>
          <w:highlight w:val="white"/>
        </w:rPr>
        <w:t xml:space="preserve">, N., &amp; </w:t>
      </w:r>
      <w:proofErr w:type="spellStart"/>
      <w:r>
        <w:rPr>
          <w:rFonts w:ascii="Times New Roman" w:eastAsia="Times New Roman" w:hAnsi="Times New Roman" w:cs="Times New Roman"/>
          <w:sz w:val="24"/>
          <w:szCs w:val="24"/>
          <w:highlight w:val="white"/>
        </w:rPr>
        <w:t>Asghari</w:t>
      </w:r>
      <w:proofErr w:type="spellEnd"/>
      <w:r>
        <w:rPr>
          <w:rFonts w:ascii="Times New Roman" w:eastAsia="Times New Roman" w:hAnsi="Times New Roman" w:cs="Times New Roman"/>
          <w:sz w:val="24"/>
          <w:szCs w:val="24"/>
          <w:highlight w:val="white"/>
        </w:rPr>
        <w:t>, F. (2014, June). Autonomy of children and adolescents in consent to treatment: ethical, jurisprudential and legal considerations. Retrieved from https://www.ncbi.nlm.nih.gov</w:t>
      </w:r>
      <w:r>
        <w:rPr>
          <w:rFonts w:ascii="Times New Roman" w:eastAsia="Times New Roman" w:hAnsi="Times New Roman" w:cs="Times New Roman"/>
          <w:sz w:val="24"/>
          <w:szCs w:val="24"/>
          <w:highlight w:val="white"/>
        </w:rPr>
        <w:t>/pmc/articles/PMC4276576/.</w:t>
      </w:r>
    </w:p>
    <w:p w14:paraId="00000084"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Singer, P. (1985). Making Laws on Making Babies. </w:t>
      </w:r>
      <w:r>
        <w:rPr>
          <w:rFonts w:ascii="Times New Roman" w:eastAsia="Times New Roman" w:hAnsi="Times New Roman" w:cs="Times New Roman"/>
          <w:i/>
          <w:sz w:val="24"/>
          <w:szCs w:val="24"/>
          <w:highlight w:val="white"/>
        </w:rPr>
        <w:t>The Hastings Center Report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15</w:t>
      </w:r>
      <w:r>
        <w:rPr>
          <w:rFonts w:ascii="Times New Roman" w:eastAsia="Times New Roman" w:hAnsi="Times New Roman" w:cs="Times New Roman"/>
          <w:sz w:val="24"/>
          <w:szCs w:val="24"/>
          <w:highlight w:val="white"/>
        </w:rPr>
        <w:t xml:space="preserve">(4), 5. </w:t>
      </w:r>
      <w:proofErr w:type="spellStart"/>
      <w:r>
        <w:rPr>
          <w:rFonts w:ascii="Times New Roman" w:eastAsia="Times New Roman" w:hAnsi="Times New Roman" w:cs="Times New Roman"/>
          <w:sz w:val="24"/>
          <w:szCs w:val="24"/>
          <w:highlight w:val="white"/>
        </w:rPr>
        <w:t>doi</w:t>
      </w:r>
      <w:proofErr w:type="spellEnd"/>
      <w:r>
        <w:rPr>
          <w:rFonts w:ascii="Times New Roman" w:eastAsia="Times New Roman" w:hAnsi="Times New Roman" w:cs="Times New Roman"/>
          <w:sz w:val="24"/>
          <w:szCs w:val="24"/>
          <w:highlight w:val="white"/>
        </w:rPr>
        <w:t>: 10.2307/3561376</w:t>
      </w:r>
    </w:p>
    <w:p w14:paraId="00000085"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Talbot, M. (2019, July 10). About a Boy. Retrieved from https://www.newyorker.com/magazine/2013/03/18/about-a-boy-2.</w:t>
      </w:r>
    </w:p>
    <w:p w14:paraId="00000086"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Tayl</w:t>
      </w:r>
      <w:r>
        <w:rPr>
          <w:rFonts w:ascii="Times New Roman" w:eastAsia="Times New Roman" w:hAnsi="Times New Roman" w:cs="Times New Roman"/>
          <w:sz w:val="24"/>
          <w:szCs w:val="24"/>
          <w:highlight w:val="white"/>
        </w:rPr>
        <w:t xml:space="preserve">or, J. K., Lewis, D. C., &amp; </w:t>
      </w:r>
      <w:proofErr w:type="spellStart"/>
      <w:r>
        <w:rPr>
          <w:rFonts w:ascii="Times New Roman" w:eastAsia="Times New Roman" w:hAnsi="Times New Roman" w:cs="Times New Roman"/>
          <w:sz w:val="24"/>
          <w:szCs w:val="24"/>
          <w:highlight w:val="white"/>
        </w:rPr>
        <w:t>Haider</w:t>
      </w:r>
      <w:proofErr w:type="spellEnd"/>
      <w:r>
        <w:rPr>
          <w:rFonts w:ascii="Times New Roman" w:eastAsia="Times New Roman" w:hAnsi="Times New Roman" w:cs="Times New Roman"/>
          <w:sz w:val="24"/>
          <w:szCs w:val="24"/>
          <w:highlight w:val="white"/>
        </w:rPr>
        <w:t xml:space="preserve">-Markel, D. P. (2018). </w:t>
      </w:r>
      <w:r>
        <w:rPr>
          <w:rFonts w:ascii="Times New Roman" w:eastAsia="Times New Roman" w:hAnsi="Times New Roman" w:cs="Times New Roman"/>
          <w:i/>
          <w:sz w:val="24"/>
          <w:szCs w:val="24"/>
          <w:highlight w:val="white"/>
        </w:rPr>
        <w:t>The remarkable rise of transgender rights</w:t>
      </w:r>
      <w:r>
        <w:rPr>
          <w:rFonts w:ascii="Times New Roman" w:eastAsia="Times New Roman" w:hAnsi="Times New Roman" w:cs="Times New Roman"/>
          <w:sz w:val="24"/>
          <w:szCs w:val="24"/>
          <w:highlight w:val="white"/>
        </w:rPr>
        <w:t>. Ann Arbor: University of Michigan Press.</w:t>
      </w:r>
    </w:p>
    <w:p w14:paraId="00000087" w14:textId="77777777" w:rsidR="0070794E" w:rsidRDefault="0009698E">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What does ISNA recommend for children with intersex? (</w:t>
      </w:r>
      <w:proofErr w:type="spellStart"/>
      <w:r>
        <w:rPr>
          <w:rFonts w:ascii="Times New Roman" w:eastAsia="Times New Roman" w:hAnsi="Times New Roman" w:cs="Times New Roman"/>
          <w:sz w:val="24"/>
          <w:szCs w:val="24"/>
          <w:highlight w:val="white"/>
        </w:rPr>
        <w:t>n.d.</w:t>
      </w:r>
      <w:proofErr w:type="spellEnd"/>
      <w:r>
        <w:rPr>
          <w:rFonts w:ascii="Times New Roman" w:eastAsia="Times New Roman" w:hAnsi="Times New Roman" w:cs="Times New Roman"/>
          <w:sz w:val="24"/>
          <w:szCs w:val="24"/>
          <w:highlight w:val="white"/>
        </w:rPr>
        <w:t>). Retrieved from http://www.isna.org/faq/patient-centered</w:t>
      </w:r>
      <w:r>
        <w:rPr>
          <w:rFonts w:ascii="Times New Roman" w:eastAsia="Times New Roman" w:hAnsi="Times New Roman" w:cs="Times New Roman"/>
          <w:sz w:val="24"/>
          <w:szCs w:val="24"/>
          <w:highlight w:val="white"/>
        </w:rPr>
        <w:t>.</w:t>
      </w:r>
    </w:p>
    <w:p w14:paraId="00000088" w14:textId="77777777" w:rsidR="0070794E" w:rsidRDefault="0009698E">
      <w:pPr>
        <w:numPr>
          <w:ilvl w:val="0"/>
          <w:numId w:val="2"/>
        </w:numPr>
        <w:shd w:val="clear" w:color="auto" w:fill="FFFFFF"/>
        <w:spacing w:after="30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Wilson, D. (2010). Creating the ‘ethics industry’: Mary Warnock, in vitro fertilization and the history of bioethics in Britain. </w:t>
      </w:r>
      <w:proofErr w:type="spellStart"/>
      <w:r>
        <w:rPr>
          <w:rFonts w:ascii="Times New Roman" w:eastAsia="Times New Roman" w:hAnsi="Times New Roman" w:cs="Times New Roman"/>
          <w:i/>
          <w:sz w:val="24"/>
          <w:szCs w:val="24"/>
          <w:highlight w:val="white"/>
        </w:rPr>
        <w:t>BioSocieties</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6</w:t>
      </w:r>
      <w:r>
        <w:rPr>
          <w:rFonts w:ascii="Times New Roman" w:eastAsia="Times New Roman" w:hAnsi="Times New Roman" w:cs="Times New Roman"/>
          <w:sz w:val="24"/>
          <w:szCs w:val="24"/>
          <w:highlight w:val="white"/>
        </w:rPr>
        <w:t xml:space="preserve">(2), 121–141. </w:t>
      </w:r>
      <w:proofErr w:type="spellStart"/>
      <w:r>
        <w:rPr>
          <w:rFonts w:ascii="Times New Roman" w:eastAsia="Times New Roman" w:hAnsi="Times New Roman" w:cs="Times New Roman"/>
          <w:sz w:val="24"/>
          <w:szCs w:val="24"/>
          <w:highlight w:val="white"/>
        </w:rPr>
        <w:t>doi</w:t>
      </w:r>
      <w:proofErr w:type="spellEnd"/>
      <w:r>
        <w:rPr>
          <w:rFonts w:ascii="Times New Roman" w:eastAsia="Times New Roman" w:hAnsi="Times New Roman" w:cs="Times New Roman"/>
          <w:sz w:val="24"/>
          <w:szCs w:val="24"/>
          <w:highlight w:val="white"/>
        </w:rPr>
        <w:t>: 10.1057/biosoc.2010.26</w:t>
      </w:r>
    </w:p>
    <w:p w14:paraId="00000089" w14:textId="77777777" w:rsidR="0070794E" w:rsidRDefault="0070794E">
      <w:pPr>
        <w:spacing w:before="180" w:after="180"/>
        <w:rPr>
          <w:rFonts w:ascii="Times New Roman" w:eastAsia="Times New Roman" w:hAnsi="Times New Roman" w:cs="Times New Roman"/>
          <w:sz w:val="28"/>
          <w:szCs w:val="28"/>
          <w:highlight w:val="white"/>
        </w:rPr>
      </w:pPr>
    </w:p>
    <w:p w14:paraId="0000008A" w14:textId="77777777" w:rsidR="0070794E" w:rsidRDefault="0070794E">
      <w:pPr>
        <w:spacing w:before="180" w:after="180"/>
        <w:rPr>
          <w:rFonts w:ascii="Times New Roman" w:eastAsia="Times New Roman" w:hAnsi="Times New Roman" w:cs="Times New Roman"/>
          <w:sz w:val="28"/>
          <w:szCs w:val="28"/>
          <w:highlight w:val="white"/>
        </w:rPr>
      </w:pPr>
    </w:p>
    <w:p w14:paraId="0000008B" w14:textId="77777777" w:rsidR="0070794E" w:rsidRDefault="0070794E">
      <w:pPr>
        <w:pBdr>
          <w:top w:val="nil"/>
          <w:left w:val="nil"/>
          <w:bottom w:val="nil"/>
          <w:right w:val="nil"/>
          <w:between w:val="nil"/>
        </w:pBdr>
        <w:spacing w:before="180" w:after="180"/>
        <w:rPr>
          <w:rFonts w:ascii="Times New Roman" w:eastAsia="Times New Roman" w:hAnsi="Times New Roman" w:cs="Times New Roman"/>
          <w:sz w:val="24"/>
          <w:szCs w:val="24"/>
          <w:highlight w:val="white"/>
        </w:rPr>
      </w:pPr>
    </w:p>
    <w:p w14:paraId="0000008C" w14:textId="77777777" w:rsidR="0070794E" w:rsidRDefault="0070794E">
      <w:pPr>
        <w:pBdr>
          <w:top w:val="nil"/>
          <w:left w:val="nil"/>
          <w:bottom w:val="nil"/>
          <w:right w:val="nil"/>
          <w:between w:val="nil"/>
        </w:pBdr>
        <w:spacing w:before="180" w:after="180"/>
        <w:rPr>
          <w:rFonts w:ascii="Times New Roman" w:eastAsia="Times New Roman" w:hAnsi="Times New Roman" w:cs="Times New Roman"/>
          <w:sz w:val="24"/>
          <w:szCs w:val="24"/>
          <w:highlight w:val="white"/>
        </w:rPr>
      </w:pPr>
    </w:p>
    <w:sectPr w:rsidR="0070794E">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48CFA0" w14:textId="77777777" w:rsidR="0009698E" w:rsidRDefault="0009698E">
      <w:pPr>
        <w:spacing w:line="240" w:lineRule="auto"/>
      </w:pPr>
      <w:r>
        <w:separator/>
      </w:r>
    </w:p>
  </w:endnote>
  <w:endnote w:type="continuationSeparator" w:id="0">
    <w:p w14:paraId="7009EAA5" w14:textId="77777777" w:rsidR="0009698E" w:rsidRDefault="000969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9D9BA6" w14:textId="77777777" w:rsidR="0009698E" w:rsidRDefault="0009698E">
      <w:pPr>
        <w:spacing w:line="240" w:lineRule="auto"/>
      </w:pPr>
      <w:r>
        <w:separator/>
      </w:r>
    </w:p>
  </w:footnote>
  <w:footnote w:type="continuationSeparator" w:id="0">
    <w:p w14:paraId="28ED4C04" w14:textId="77777777" w:rsidR="0009698E" w:rsidRDefault="0009698E">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8D" w14:textId="64DD4093" w:rsidR="0070794E" w:rsidRDefault="0009698E">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A40A15"/>
    <w:multiLevelType w:val="multilevel"/>
    <w:tmpl w:val="D8E2E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DD83822"/>
    <w:multiLevelType w:val="multilevel"/>
    <w:tmpl w:val="56B6E5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94E"/>
    <w:rsid w:val="0009698E"/>
    <w:rsid w:val="0070794E"/>
    <w:rsid w:val="00C51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B262D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512B1"/>
    <w:pPr>
      <w:tabs>
        <w:tab w:val="center" w:pos="4680"/>
        <w:tab w:val="right" w:pos="9360"/>
      </w:tabs>
      <w:spacing w:line="240" w:lineRule="auto"/>
    </w:pPr>
  </w:style>
  <w:style w:type="character" w:customStyle="1" w:styleId="HeaderChar">
    <w:name w:val="Header Char"/>
    <w:basedOn w:val="DefaultParagraphFont"/>
    <w:link w:val="Header"/>
    <w:uiPriority w:val="99"/>
    <w:rsid w:val="00C512B1"/>
  </w:style>
  <w:style w:type="paragraph" w:styleId="Footer">
    <w:name w:val="footer"/>
    <w:basedOn w:val="Normal"/>
    <w:link w:val="FooterChar"/>
    <w:uiPriority w:val="99"/>
    <w:unhideWhenUsed/>
    <w:rsid w:val="00C512B1"/>
    <w:pPr>
      <w:tabs>
        <w:tab w:val="center" w:pos="4680"/>
        <w:tab w:val="right" w:pos="9360"/>
      </w:tabs>
      <w:spacing w:line="240" w:lineRule="auto"/>
    </w:pPr>
  </w:style>
  <w:style w:type="character" w:customStyle="1" w:styleId="FooterChar">
    <w:name w:val="Footer Char"/>
    <w:basedOn w:val="DefaultParagraphFont"/>
    <w:link w:val="Footer"/>
    <w:uiPriority w:val="99"/>
    <w:rsid w:val="00C51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childmind.org/article/what-drives-self-injury-and-how-to-treat-it/" TargetMode="External"/><Relationship Id="rId8" Type="http://schemas.openxmlformats.org/officeDocument/2006/relationships/hyperlink" Target="http://www.isna.org/faq/gender_assignment"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3661</Words>
  <Characters>20871</Characters>
  <Application>Microsoft Macintosh Word</Application>
  <DocSecurity>0</DocSecurity>
  <Lines>173</Lines>
  <Paragraphs>48</Paragraphs>
  <ScaleCrop>false</ScaleCrop>
  <LinksUpToDate>false</LinksUpToDate>
  <CharactersWithSpaces>24484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alaziz@bc.edu</cp:lastModifiedBy>
  <cp:revision>2</cp:revision>
  <dcterms:created xsi:type="dcterms:W3CDTF">2020-12-18T01:08:00Z</dcterms:created>
  <dcterms:modified xsi:type="dcterms:W3CDTF">2020-12-18T01:08:00Z</dcterms:modified>
</cp:coreProperties>
</file>